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252" w:rsidRDefault="00427252">
      <w:pPr>
        <w:pStyle w:val="Titre"/>
      </w:pPr>
    </w:p>
    <w:p w:rsidR="00427252" w:rsidRDefault="008B4184">
      <w:pPr>
        <w:rPr>
          <w:b/>
          <w:bCs/>
          <w:color w:val="000000"/>
          <w:spacing w:val="-1"/>
          <w:sz w:val="27"/>
          <w:szCs w:val="27"/>
        </w:rPr>
      </w:pPr>
      <w:r>
        <w:rPr>
          <w:b/>
          <w:bCs/>
          <w:noProof/>
          <w:color w:val="000000"/>
          <w:spacing w:val="-1"/>
          <w:sz w:val="22"/>
          <w:szCs w:val="27"/>
        </w:rPr>
        <w:drawing>
          <wp:anchor distT="0" distB="0" distL="114300" distR="114300" simplePos="0" relativeHeight="251662848" behindDoc="0" locked="0" layoutInCell="1" allowOverlap="1">
            <wp:simplePos x="0" y="0"/>
            <wp:positionH relativeFrom="column">
              <wp:posOffset>0</wp:posOffset>
            </wp:positionH>
            <wp:positionV relativeFrom="paragraph">
              <wp:posOffset>490855</wp:posOffset>
            </wp:positionV>
            <wp:extent cx="1638935" cy="1242060"/>
            <wp:effectExtent l="19050" t="0" r="0" b="0"/>
            <wp:wrapTopAndBottom/>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cstate="print"/>
                    <a:srcRect/>
                    <a:stretch>
                      <a:fillRect/>
                    </a:stretch>
                  </pic:blipFill>
                  <pic:spPr bwMode="auto">
                    <a:xfrm>
                      <a:off x="0" y="0"/>
                      <a:ext cx="1638935" cy="1242060"/>
                    </a:xfrm>
                    <a:prstGeom prst="rect">
                      <a:avLst/>
                    </a:prstGeom>
                    <a:noFill/>
                    <a:ln w="9525">
                      <a:noFill/>
                      <a:miter lim="800000"/>
                      <a:headEnd/>
                      <a:tailEnd/>
                    </a:ln>
                  </pic:spPr>
                </pic:pic>
              </a:graphicData>
            </a:graphic>
          </wp:anchor>
        </w:drawing>
      </w:r>
    </w:p>
    <w:p w:rsidR="00427252" w:rsidRDefault="00F34F35">
      <w:pPr>
        <w:tabs>
          <w:tab w:val="left" w:pos="360"/>
        </w:tabs>
        <w:jc w:val="both"/>
        <w:rPr>
          <w:b/>
          <w:bCs/>
          <w:color w:val="000000"/>
          <w:spacing w:val="-1"/>
          <w:sz w:val="22"/>
          <w:szCs w:val="27"/>
        </w:rPr>
      </w:pPr>
      <w:r w:rsidRPr="00F34F35">
        <w:rPr>
          <w:b/>
          <w:bCs/>
          <w:noProof/>
          <w:color w:val="000000"/>
          <w:spacing w:val="-1"/>
          <w:sz w:val="20"/>
          <w:szCs w:val="27"/>
        </w:rPr>
        <w:pict>
          <v:rect id="_x0000_s1058" style="position:absolute;left:0;text-align:left;margin-left:120pt;margin-top:23.15pt;width:354pt;height:122.25pt;z-index:251663872" stroked="f">
            <v:textbox style="mso-next-textbox:#_x0000_s1058">
              <w:txbxContent>
                <w:p w:rsidR="00427252" w:rsidRDefault="00427252">
                  <w:pPr>
                    <w:tabs>
                      <w:tab w:val="left" w:pos="0"/>
                    </w:tabs>
                    <w:ind w:left="120" w:right="73"/>
                    <w:jc w:val="both"/>
                  </w:pPr>
                  <w:r>
                    <w:rPr>
                      <w:b/>
                      <w:bCs/>
                      <w:color w:val="000000"/>
                      <w:spacing w:val="-1"/>
                      <w:sz w:val="22"/>
                      <w:szCs w:val="27"/>
                    </w:rPr>
                    <w:t>Après 25 ans de prise en compte du facteur humain dans le nucléaire, la Division Production Nucléaire d’EDF lance début 2006 un projet intitulé “Performance Humaine”. Il est destiné à faire évoluer en profondeur les pratiques de travail des différents intervenants du nucléaire (37 000 personnes EDF et prestataires) vers plus de rigueur et d’efficacité. Des progrès notables pour la sûreté sont constatés dès 2008</w:t>
                  </w:r>
                  <w:r w:rsidR="00CF1428">
                    <w:rPr>
                      <w:b/>
                      <w:bCs/>
                      <w:color w:val="000000"/>
                      <w:spacing w:val="-1"/>
                      <w:sz w:val="22"/>
                      <w:szCs w:val="27"/>
                    </w:rPr>
                    <w:t xml:space="preserve"> et se poursuivent en 201</w:t>
                  </w:r>
                  <w:r w:rsidR="00F262C9">
                    <w:rPr>
                      <w:b/>
                      <w:bCs/>
                      <w:color w:val="000000"/>
                      <w:spacing w:val="-1"/>
                      <w:sz w:val="22"/>
                      <w:szCs w:val="27"/>
                    </w:rPr>
                    <w:t>3</w:t>
                  </w:r>
                  <w:r w:rsidR="00CF1428">
                    <w:rPr>
                      <w:b/>
                      <w:bCs/>
                      <w:color w:val="000000"/>
                      <w:spacing w:val="-1"/>
                      <w:sz w:val="22"/>
                      <w:szCs w:val="27"/>
                    </w:rPr>
                    <w:t>.</w:t>
                  </w:r>
                </w:p>
              </w:txbxContent>
            </v:textbox>
          </v:rect>
        </w:pict>
      </w:r>
    </w:p>
    <w:p w:rsidR="00427252" w:rsidRDefault="00427252">
      <w:pPr>
        <w:tabs>
          <w:tab w:val="left" w:pos="360"/>
        </w:tabs>
        <w:jc w:val="both"/>
        <w:rPr>
          <w:b/>
          <w:bCs/>
          <w:color w:val="000000"/>
          <w:spacing w:val="-1"/>
          <w:szCs w:val="27"/>
        </w:rPr>
      </w:pPr>
    </w:p>
    <w:p w:rsidR="00427252" w:rsidRDefault="00427252">
      <w:pPr>
        <w:tabs>
          <w:tab w:val="left" w:pos="360"/>
        </w:tabs>
        <w:jc w:val="both"/>
        <w:rPr>
          <w:b/>
          <w:bCs/>
          <w:color w:val="000000"/>
          <w:spacing w:val="-1"/>
          <w:szCs w:val="27"/>
        </w:rPr>
      </w:pPr>
    </w:p>
    <w:p w:rsidR="00427252" w:rsidRDefault="00427252">
      <w:pPr>
        <w:tabs>
          <w:tab w:val="left" w:pos="360"/>
        </w:tabs>
        <w:jc w:val="both"/>
        <w:rPr>
          <w:b/>
          <w:bCs/>
          <w:color w:val="000000"/>
          <w:spacing w:val="-1"/>
          <w:szCs w:val="27"/>
        </w:rPr>
      </w:pPr>
      <w:r>
        <w:rPr>
          <w:b/>
          <w:bCs/>
          <w:color w:val="000000"/>
          <w:spacing w:val="-1"/>
          <w:szCs w:val="27"/>
        </w:rPr>
        <w:t>1) Une prise en compte précoce du Facteur Humain dans le nucléaire</w:t>
      </w:r>
    </w:p>
    <w:p w:rsidR="00427252" w:rsidRDefault="00427252">
      <w:pPr>
        <w:pStyle w:val="Retraitcorpsdetexte2"/>
        <w:jc w:val="both"/>
      </w:pPr>
    </w:p>
    <w:p w:rsidR="00427252" w:rsidRDefault="00427252">
      <w:pPr>
        <w:pStyle w:val="Retraitcorpsdetexte2"/>
        <w:jc w:val="both"/>
        <w:rPr>
          <w:sz w:val="22"/>
        </w:rPr>
      </w:pPr>
      <w:r>
        <w:rPr>
          <w:sz w:val="22"/>
        </w:rPr>
        <w:t xml:space="preserve">L’analyse de l’accident de la centrale nucléaire de TMI en 1978 au USA a fortement sensibilisé l’industrie nucléaire aux dimensions non techniques de la sûreté. C’est ainsi que le nucléaire français a vu apparaître sa première équipe nationale Facteurs Humains dès 1982. Des consultants “facteurs humains” sont intégrés sur chaque site nucléaire à partir de 1993. Leur activité va tout d’abord se déployer sur les analyses d’événements et sur la compréhension du contexte, puis sur la mise en œuvre de diverses actions destinées à améliorer la sûreté des installations. </w:t>
      </w:r>
    </w:p>
    <w:p w:rsidR="00427252" w:rsidRDefault="00427252">
      <w:pPr>
        <w:tabs>
          <w:tab w:val="left" w:pos="360"/>
        </w:tabs>
        <w:jc w:val="both"/>
        <w:rPr>
          <w:color w:val="000000"/>
          <w:spacing w:val="-1"/>
          <w:sz w:val="20"/>
          <w:szCs w:val="19"/>
        </w:rPr>
      </w:pPr>
    </w:p>
    <w:p w:rsidR="00427252" w:rsidRDefault="00427252">
      <w:pPr>
        <w:tabs>
          <w:tab w:val="left" w:pos="360"/>
        </w:tabs>
        <w:jc w:val="both"/>
        <w:rPr>
          <w:b/>
          <w:bCs/>
          <w:color w:val="000000"/>
          <w:spacing w:val="-1"/>
          <w:szCs w:val="27"/>
        </w:rPr>
      </w:pPr>
    </w:p>
    <w:p w:rsidR="00427252" w:rsidRDefault="00427252">
      <w:pPr>
        <w:tabs>
          <w:tab w:val="left" w:pos="360"/>
        </w:tabs>
        <w:jc w:val="both"/>
        <w:rPr>
          <w:b/>
          <w:bCs/>
          <w:color w:val="000000"/>
          <w:spacing w:val="-1"/>
          <w:szCs w:val="27"/>
        </w:rPr>
      </w:pPr>
      <w:r>
        <w:rPr>
          <w:b/>
          <w:bCs/>
          <w:color w:val="000000"/>
          <w:spacing w:val="-1"/>
          <w:szCs w:val="27"/>
        </w:rPr>
        <w:t>2) Le Projet Performance Humaine</w:t>
      </w:r>
    </w:p>
    <w:p w:rsidR="00427252" w:rsidRDefault="00427252">
      <w:pPr>
        <w:tabs>
          <w:tab w:val="left" w:pos="360"/>
        </w:tabs>
        <w:jc w:val="both"/>
        <w:rPr>
          <w:b/>
          <w:bCs/>
          <w:color w:val="000000"/>
          <w:spacing w:val="-1"/>
          <w:sz w:val="27"/>
          <w:szCs w:val="27"/>
        </w:rPr>
      </w:pPr>
    </w:p>
    <w:p w:rsidR="00427252" w:rsidRDefault="00427252">
      <w:pPr>
        <w:ind w:left="240"/>
        <w:jc w:val="both"/>
        <w:rPr>
          <w:color w:val="000000"/>
          <w:spacing w:val="-1"/>
          <w:sz w:val="22"/>
          <w:szCs w:val="19"/>
        </w:rPr>
      </w:pPr>
      <w:r>
        <w:rPr>
          <w:color w:val="000000"/>
          <w:spacing w:val="-1"/>
          <w:sz w:val="22"/>
          <w:szCs w:val="19"/>
        </w:rPr>
        <w:t xml:space="preserve">En 2003, une étude rétrospective des initiatives passées montre que les actions déployées à la production nucléaire au sein d’EDF avaient essentiellement été centrées hors du temps et du lieu de l’intervention: analyse des situations sous différents angles pour y développer une conscience renforcée des risques rencontrés. L’objectif étant d’accroître la vigilance des acteurs et améliorer leurs pratiques. Ce qui est souvent </w:t>
      </w:r>
      <w:r w:rsidR="00CF1428">
        <w:rPr>
          <w:color w:val="000000"/>
          <w:spacing w:val="-1"/>
          <w:sz w:val="22"/>
          <w:szCs w:val="19"/>
        </w:rPr>
        <w:t>atteint</w:t>
      </w:r>
      <w:r>
        <w:rPr>
          <w:color w:val="000000"/>
          <w:spacing w:val="-1"/>
          <w:sz w:val="22"/>
          <w:szCs w:val="19"/>
        </w:rPr>
        <w:t xml:space="preserve">, mais rarement de manière durable. </w:t>
      </w:r>
    </w:p>
    <w:p w:rsidR="00427252" w:rsidRDefault="00427252" w:rsidP="00164C64">
      <w:pPr>
        <w:ind w:left="240"/>
        <w:jc w:val="both"/>
        <w:rPr>
          <w:sz w:val="22"/>
        </w:rPr>
      </w:pPr>
      <w:r>
        <w:rPr>
          <w:sz w:val="22"/>
        </w:rPr>
        <w:t xml:space="preserve">L’attention ne peut en effet se porter en même temps et de façon robuste, sur l’ensemble des sujets qu’elle ambitionne de couvrir. Les ressources attentionnelles sont biologiquement limitées et les acteurs du nucléaire ne sont, pas plus qu’ailleurs, des surhommes. </w:t>
      </w:r>
      <w:r w:rsidR="00164C64">
        <w:rPr>
          <w:sz w:val="22"/>
        </w:rPr>
        <w:t>L’expérience des acteurs les amènent à construire des routines</w:t>
      </w:r>
      <w:r w:rsidR="00D46129">
        <w:rPr>
          <w:sz w:val="22"/>
        </w:rPr>
        <w:t xml:space="preserve"> professionnelles</w:t>
      </w:r>
      <w:r w:rsidR="00164C64">
        <w:rPr>
          <w:sz w:val="22"/>
        </w:rPr>
        <w:t>. Et l’injonction à sortir de la routine a peu d’effets.</w:t>
      </w:r>
    </w:p>
    <w:p w:rsidR="00D46129" w:rsidRDefault="00D46129" w:rsidP="00164C64">
      <w:pPr>
        <w:ind w:left="240"/>
        <w:jc w:val="both"/>
      </w:pPr>
    </w:p>
    <w:p w:rsidR="00427252" w:rsidRDefault="00427252">
      <w:pPr>
        <w:pStyle w:val="Corpsdetexte"/>
        <w:ind w:left="240"/>
        <w:jc w:val="both"/>
        <w:rPr>
          <w:sz w:val="22"/>
        </w:rPr>
      </w:pPr>
      <w:r>
        <w:rPr>
          <w:sz w:val="22"/>
        </w:rPr>
        <w:t>D’autre part, le benchmarking réalisé à cette époque auprès d’autres industries ou domaines à risques (aéronautique, médical, NAVY, les opérateurs nucléaires US …) a montré que l’err</w:t>
      </w:r>
      <w:r w:rsidR="00CF1428">
        <w:rPr>
          <w:sz w:val="22"/>
        </w:rPr>
        <w:t>eur humaine, notamment l’erreur</w:t>
      </w:r>
      <w:r>
        <w:rPr>
          <w:sz w:val="22"/>
        </w:rPr>
        <w:t xml:space="preserve"> ponctuelle ou de routine des acteurs durant une activité, n’est pas une fatalité, mais qu’il était possible d’en  diminuer nota</w:t>
      </w:r>
      <w:r w:rsidR="00CF1428">
        <w:rPr>
          <w:sz w:val="22"/>
        </w:rPr>
        <w:t>ble</w:t>
      </w:r>
      <w:r>
        <w:rPr>
          <w:sz w:val="22"/>
        </w:rPr>
        <w:t>ment l’occurrence par la mise en œuvre de pratiques professionnelles dites « Pratiques de fiabilisation »</w:t>
      </w:r>
      <w:r w:rsidR="00CF1428">
        <w:rPr>
          <w:sz w:val="22"/>
        </w:rPr>
        <w:t>.</w:t>
      </w:r>
    </w:p>
    <w:p w:rsidR="00427252" w:rsidRDefault="00427252">
      <w:pPr>
        <w:pStyle w:val="Corpsdetexte"/>
        <w:jc w:val="both"/>
        <w:rPr>
          <w:sz w:val="22"/>
        </w:rPr>
      </w:pPr>
    </w:p>
    <w:p w:rsidR="00427252" w:rsidRDefault="00427252">
      <w:pPr>
        <w:ind w:left="360" w:hanging="120"/>
        <w:jc w:val="both"/>
        <w:rPr>
          <w:b/>
          <w:bCs/>
          <w:color w:val="000000"/>
          <w:spacing w:val="-1"/>
          <w:sz w:val="22"/>
          <w:szCs w:val="22"/>
        </w:rPr>
      </w:pPr>
    </w:p>
    <w:p w:rsidR="00427252" w:rsidRDefault="00427252">
      <w:pPr>
        <w:ind w:left="360" w:hanging="120"/>
        <w:jc w:val="both"/>
        <w:rPr>
          <w:b/>
          <w:bCs/>
          <w:color w:val="000000"/>
          <w:spacing w:val="-1"/>
          <w:sz w:val="22"/>
          <w:szCs w:val="22"/>
        </w:rPr>
      </w:pPr>
      <w:r>
        <w:rPr>
          <w:b/>
          <w:bCs/>
          <w:color w:val="000000"/>
          <w:spacing w:val="-1"/>
          <w:sz w:val="22"/>
          <w:szCs w:val="22"/>
        </w:rPr>
        <w:br w:type="page"/>
      </w:r>
      <w:r>
        <w:rPr>
          <w:b/>
          <w:bCs/>
          <w:color w:val="000000"/>
          <w:spacing w:val="-1"/>
          <w:sz w:val="22"/>
          <w:szCs w:val="22"/>
        </w:rPr>
        <w:lastRenderedPageBreak/>
        <w:t>2.1 Ambitions</w:t>
      </w:r>
    </w:p>
    <w:p w:rsidR="00427252" w:rsidRDefault="00427252">
      <w:pPr>
        <w:pStyle w:val="Titre1"/>
        <w:ind w:left="360"/>
        <w:jc w:val="both"/>
        <w:rPr>
          <w:sz w:val="22"/>
        </w:rPr>
      </w:pPr>
    </w:p>
    <w:p w:rsidR="00427252" w:rsidRDefault="00427252">
      <w:pPr>
        <w:pStyle w:val="Titre1"/>
        <w:ind w:left="360"/>
        <w:jc w:val="both"/>
        <w:rPr>
          <w:sz w:val="22"/>
        </w:rPr>
      </w:pPr>
      <w:r>
        <w:rPr>
          <w:sz w:val="22"/>
        </w:rPr>
        <w:t>Premier volet du projet : Fiabiliser les interventions</w:t>
      </w:r>
    </w:p>
    <w:p w:rsidR="00427252" w:rsidRDefault="00427252">
      <w:pPr>
        <w:ind w:left="360"/>
        <w:jc w:val="both"/>
        <w:rPr>
          <w:color w:val="000000"/>
          <w:sz w:val="22"/>
        </w:rPr>
      </w:pPr>
      <w:r>
        <w:rPr>
          <w:color w:val="000000"/>
          <w:spacing w:val="-1"/>
          <w:sz w:val="22"/>
          <w:szCs w:val="19"/>
        </w:rPr>
        <w:t xml:space="preserve">Doter les intervenants de pratiques simples et éprouvées qui visent </w:t>
      </w:r>
      <w:r>
        <w:rPr>
          <w:color w:val="000000"/>
          <w:sz w:val="22"/>
        </w:rPr>
        <w:t xml:space="preserve">à faire en sorte que tout professionnel "fasse bien du premier coup" .  </w:t>
      </w:r>
    </w:p>
    <w:p w:rsidR="00427252" w:rsidRDefault="00427252">
      <w:pPr>
        <w:ind w:left="360"/>
        <w:jc w:val="both"/>
        <w:rPr>
          <w:color w:val="000000"/>
          <w:sz w:val="22"/>
        </w:rPr>
      </w:pPr>
      <w:r>
        <w:rPr>
          <w:color w:val="000000"/>
          <w:sz w:val="22"/>
        </w:rPr>
        <w:t>Le benchmarking  international a permis d’identifier 6 "</w:t>
      </w:r>
      <w:r>
        <w:rPr>
          <w:color w:val="000000"/>
          <w:spacing w:val="-1"/>
          <w:sz w:val="22"/>
          <w:szCs w:val="19"/>
        </w:rPr>
        <w:t>Pratiques de Fiabilisation"</w:t>
      </w:r>
      <w:r>
        <w:rPr>
          <w:color w:val="000000"/>
          <w:sz w:val="22"/>
        </w:rPr>
        <w:t xml:space="preserve"> reconnues et éprouvées : le pré-job briefing, la minute d’arrêt, l’auto-contrôle, le contrôle croisé, la communication sécurisée et le débriefing </w:t>
      </w:r>
      <w:r>
        <w:rPr>
          <w:color w:val="000000"/>
          <w:spacing w:val="-1"/>
          <w:sz w:val="22"/>
          <w:szCs w:val="19"/>
        </w:rPr>
        <w:t>qui permettent aux acteurs de mieux gérer leurs ressources cognitives au moment des interventions afin de limiter les erreurs inhérentes à toute intervention humaine.</w:t>
      </w:r>
      <w:r>
        <w:rPr>
          <w:color w:val="000000"/>
          <w:sz w:val="22"/>
        </w:rPr>
        <w:t xml:space="preserve"> </w:t>
      </w:r>
    </w:p>
    <w:p w:rsidR="00427252" w:rsidRDefault="00427252">
      <w:pPr>
        <w:pStyle w:val="Titre1"/>
        <w:ind w:left="360"/>
        <w:jc w:val="both"/>
        <w:rPr>
          <w:sz w:val="22"/>
        </w:rPr>
      </w:pPr>
    </w:p>
    <w:p w:rsidR="00427252" w:rsidRDefault="00427252">
      <w:pPr>
        <w:pStyle w:val="Titre1"/>
        <w:ind w:left="360"/>
        <w:jc w:val="both"/>
        <w:rPr>
          <w:sz w:val="22"/>
        </w:rPr>
      </w:pPr>
      <w:r>
        <w:rPr>
          <w:sz w:val="22"/>
        </w:rPr>
        <w:t>Deuxième volet du projet: Renforcer et améliorer la présence terrain des managers</w:t>
      </w:r>
    </w:p>
    <w:p w:rsidR="00427252" w:rsidRDefault="00D46129">
      <w:pPr>
        <w:pStyle w:val="Retraitcorpsdetexte"/>
        <w:ind w:firstLine="0"/>
        <w:jc w:val="both"/>
        <w:rPr>
          <w:sz w:val="22"/>
        </w:rPr>
      </w:pPr>
      <w:r>
        <w:rPr>
          <w:sz w:val="22"/>
        </w:rPr>
        <w:t xml:space="preserve">Les managers doivent </w:t>
      </w:r>
      <w:r w:rsidR="00427252">
        <w:rPr>
          <w:sz w:val="22"/>
        </w:rPr>
        <w:t xml:space="preserve"> mettre l’intervenant final au </w:t>
      </w:r>
      <w:r>
        <w:rPr>
          <w:sz w:val="22"/>
        </w:rPr>
        <w:t xml:space="preserve">centre de leurs préoccupations. Ils doivent pour cela </w:t>
      </w:r>
      <w:r w:rsidR="00427252">
        <w:rPr>
          <w:sz w:val="22"/>
        </w:rPr>
        <w:t xml:space="preserve">renforcer leur présence sur le terrain afin d’y améliorer les conditions de réussite des intervenants, </w:t>
      </w:r>
      <w:r>
        <w:rPr>
          <w:sz w:val="22"/>
        </w:rPr>
        <w:t xml:space="preserve"> </w:t>
      </w:r>
      <w:r w:rsidR="00427252">
        <w:rPr>
          <w:sz w:val="22"/>
        </w:rPr>
        <w:t xml:space="preserve">intervenir </w:t>
      </w:r>
      <w:r>
        <w:rPr>
          <w:sz w:val="22"/>
        </w:rPr>
        <w:t>sur la manière d’atteindre  les résultats et</w:t>
      </w:r>
      <w:r w:rsidR="00427252">
        <w:rPr>
          <w:sz w:val="22"/>
        </w:rPr>
        <w:t xml:space="preserve"> consolider le lien entre leurs décisions et le réel.</w:t>
      </w:r>
    </w:p>
    <w:p w:rsidR="00427252" w:rsidRDefault="00427252">
      <w:pPr>
        <w:ind w:left="360"/>
        <w:jc w:val="both"/>
        <w:rPr>
          <w:color w:val="000000"/>
          <w:spacing w:val="-1"/>
          <w:sz w:val="22"/>
          <w:szCs w:val="19"/>
        </w:rPr>
      </w:pPr>
    </w:p>
    <w:p w:rsidR="00427252" w:rsidRDefault="00427252">
      <w:pPr>
        <w:pStyle w:val="Titre2"/>
        <w:ind w:left="360"/>
        <w:jc w:val="both"/>
        <w:rPr>
          <w:color w:val="000000"/>
          <w:sz w:val="22"/>
        </w:rPr>
      </w:pPr>
      <w:r>
        <w:rPr>
          <w:sz w:val="22"/>
        </w:rPr>
        <w:t>Troisième volet du projet: Exploiter efficacement les constats faits lors des visites terrain des managers</w:t>
      </w:r>
    </w:p>
    <w:p w:rsidR="00427252" w:rsidRDefault="00427252">
      <w:pPr>
        <w:ind w:left="360"/>
        <w:jc w:val="both"/>
        <w:rPr>
          <w:color w:val="000000"/>
          <w:sz w:val="22"/>
        </w:rPr>
      </w:pPr>
      <w:r>
        <w:rPr>
          <w:color w:val="000000"/>
          <w:sz w:val="22"/>
        </w:rPr>
        <w:t xml:space="preserve">Les différents constats (positifs ou négatifs) réalisés lors des visites terrain doivent faire l’objet d’un traitement (promotion ou correction), à court et à moyen terme </w:t>
      </w:r>
      <w:r w:rsidR="00C674B2">
        <w:rPr>
          <w:color w:val="000000"/>
          <w:sz w:val="22"/>
        </w:rPr>
        <w:t>afin de</w:t>
      </w:r>
      <w:r>
        <w:rPr>
          <w:color w:val="000000"/>
          <w:sz w:val="22"/>
        </w:rPr>
        <w:t xml:space="preserve"> « débarrasser » les intervenants des problèmes récurrents</w:t>
      </w:r>
      <w:r w:rsidR="00C674B2">
        <w:rPr>
          <w:color w:val="000000"/>
          <w:sz w:val="22"/>
        </w:rPr>
        <w:t xml:space="preserve">. Ceci permet </w:t>
      </w:r>
      <w:r>
        <w:rPr>
          <w:color w:val="000000"/>
          <w:sz w:val="22"/>
        </w:rPr>
        <w:t xml:space="preserve"> d’améliorer l’environnement de travail et donc la performance.</w:t>
      </w:r>
    </w:p>
    <w:p w:rsidR="00427252" w:rsidRDefault="00427252">
      <w:pPr>
        <w:ind w:left="360"/>
        <w:jc w:val="both"/>
        <w:rPr>
          <w:color w:val="000000"/>
          <w:sz w:val="22"/>
        </w:rPr>
      </w:pPr>
    </w:p>
    <w:p w:rsidR="00427252" w:rsidRDefault="00427252">
      <w:pPr>
        <w:ind w:left="360"/>
        <w:jc w:val="both"/>
        <w:rPr>
          <w:b/>
          <w:bCs/>
          <w:color w:val="000000"/>
          <w:sz w:val="22"/>
        </w:rPr>
      </w:pPr>
      <w:r>
        <w:rPr>
          <w:b/>
          <w:bCs/>
          <w:color w:val="000000"/>
          <w:sz w:val="22"/>
        </w:rPr>
        <w:t>2.2 Pratiques de fiabilisation</w:t>
      </w:r>
      <w:r w:rsidR="00AD0936">
        <w:rPr>
          <w:b/>
          <w:bCs/>
          <w:color w:val="000000"/>
          <w:sz w:val="22"/>
        </w:rPr>
        <w:t xml:space="preserve"> (PFI)</w:t>
      </w:r>
    </w:p>
    <w:p w:rsidR="00427252" w:rsidRDefault="00427252">
      <w:pPr>
        <w:ind w:left="360"/>
        <w:jc w:val="both"/>
        <w:rPr>
          <w:color w:val="000000"/>
          <w:spacing w:val="-1"/>
          <w:sz w:val="20"/>
          <w:szCs w:val="19"/>
        </w:rPr>
      </w:pPr>
    </w:p>
    <w:p w:rsidR="00427252" w:rsidRDefault="00427252">
      <w:pPr>
        <w:ind w:left="360"/>
        <w:jc w:val="both"/>
        <w:rPr>
          <w:color w:val="000000"/>
          <w:spacing w:val="-1"/>
          <w:sz w:val="22"/>
          <w:szCs w:val="19"/>
        </w:rPr>
      </w:pPr>
      <w:r>
        <w:rPr>
          <w:color w:val="000000"/>
          <w:spacing w:val="-1"/>
          <w:sz w:val="22"/>
          <w:szCs w:val="19"/>
        </w:rPr>
        <w:t>Considérant que les résultats sûreté (et autres) ne s’obtiennent,</w:t>
      </w:r>
      <w:r>
        <w:rPr>
          <w:i/>
          <w:iCs/>
          <w:color w:val="000000"/>
          <w:spacing w:val="-1"/>
          <w:sz w:val="22"/>
          <w:szCs w:val="19"/>
        </w:rPr>
        <w:t xml:space="preserve"> </w:t>
      </w:r>
      <w:r>
        <w:rPr>
          <w:color w:val="000000"/>
          <w:spacing w:val="-1"/>
          <w:sz w:val="22"/>
          <w:szCs w:val="19"/>
        </w:rPr>
        <w:t xml:space="preserve">in fine, que sur le terrain, </w:t>
      </w:r>
      <w:r w:rsidR="00D46129">
        <w:rPr>
          <w:color w:val="000000"/>
          <w:spacing w:val="-1"/>
          <w:sz w:val="22"/>
          <w:szCs w:val="19"/>
        </w:rPr>
        <w:t>la démarche</w:t>
      </w:r>
      <w:r>
        <w:rPr>
          <w:color w:val="000000"/>
          <w:spacing w:val="-1"/>
          <w:sz w:val="22"/>
          <w:szCs w:val="19"/>
        </w:rPr>
        <w:t xml:space="preserve"> Performance Humaine a pour ambition première d’aider l’intervenant dans le temps et le lieu de son action de façon pérenne, en lui enseignant des pratiques de travail, plus sûres et plus robustes que la simple prise de conscience du risque. </w:t>
      </w:r>
    </w:p>
    <w:p w:rsidR="00427252" w:rsidRDefault="00427252">
      <w:pPr>
        <w:ind w:left="360"/>
        <w:jc w:val="both"/>
        <w:rPr>
          <w:color w:val="000000"/>
          <w:spacing w:val="-1"/>
          <w:sz w:val="22"/>
          <w:szCs w:val="19"/>
        </w:rPr>
      </w:pPr>
      <w:r>
        <w:rPr>
          <w:color w:val="000000"/>
          <w:spacing w:val="-1"/>
          <w:sz w:val="22"/>
          <w:szCs w:val="19"/>
        </w:rPr>
        <w:t xml:space="preserve">Il faut pour cela s’appuyer sur la psychologie cognitive pour comprendre la façon dont les acteurs travaillent et comment ils économisent leurs ressources mentales au moment de l’action, notamment lors des actions répétitives. </w:t>
      </w:r>
    </w:p>
    <w:p w:rsidR="00427252" w:rsidRDefault="00427252">
      <w:pPr>
        <w:ind w:left="360"/>
        <w:jc w:val="both"/>
        <w:rPr>
          <w:color w:val="000000"/>
          <w:spacing w:val="-1"/>
          <w:sz w:val="22"/>
          <w:szCs w:val="19"/>
        </w:rPr>
      </w:pPr>
      <w:r>
        <w:rPr>
          <w:color w:val="000000"/>
          <w:spacing w:val="-1"/>
          <w:sz w:val="22"/>
          <w:szCs w:val="19"/>
        </w:rPr>
        <w:t>Il faut par exemple comprendre la différence entre une approche analyti</w:t>
      </w:r>
      <w:r w:rsidR="00C674B2">
        <w:rPr>
          <w:color w:val="000000"/>
          <w:spacing w:val="-1"/>
          <w:sz w:val="22"/>
          <w:szCs w:val="19"/>
        </w:rPr>
        <w:t>que et une perception globale ou</w:t>
      </w:r>
      <w:r>
        <w:rPr>
          <w:color w:val="000000"/>
          <w:spacing w:val="-1"/>
          <w:sz w:val="22"/>
          <w:szCs w:val="19"/>
        </w:rPr>
        <w:t xml:space="preserve"> analogique. </w:t>
      </w:r>
    </w:p>
    <w:p w:rsidR="00427252" w:rsidRDefault="00427252">
      <w:pPr>
        <w:ind w:left="360" w:hanging="120"/>
        <w:jc w:val="both"/>
        <w:rPr>
          <w:color w:val="000000"/>
          <w:spacing w:val="-1"/>
          <w:sz w:val="22"/>
          <w:szCs w:val="19"/>
        </w:rPr>
      </w:pPr>
    </w:p>
    <w:p w:rsidR="00427252" w:rsidRDefault="00427252">
      <w:pPr>
        <w:ind w:left="360"/>
        <w:jc w:val="both"/>
        <w:rPr>
          <w:b/>
          <w:bCs/>
          <w:color w:val="000000"/>
          <w:spacing w:val="-1"/>
          <w:sz w:val="22"/>
          <w:szCs w:val="19"/>
        </w:rPr>
      </w:pPr>
      <w:r>
        <w:rPr>
          <w:b/>
          <w:bCs/>
          <w:color w:val="000000"/>
          <w:spacing w:val="-1"/>
          <w:sz w:val="22"/>
          <w:szCs w:val="19"/>
        </w:rPr>
        <w:t>Exemple :</w:t>
      </w:r>
    </w:p>
    <w:p w:rsidR="00427252" w:rsidRDefault="00427252">
      <w:pPr>
        <w:ind w:left="360"/>
        <w:jc w:val="both"/>
        <w:rPr>
          <w:b/>
          <w:bCs/>
          <w:color w:val="000000"/>
          <w:spacing w:val="-1"/>
          <w:sz w:val="20"/>
          <w:szCs w:val="19"/>
        </w:rPr>
      </w:pPr>
    </w:p>
    <w:p w:rsidR="00427252" w:rsidRDefault="00427252">
      <w:pPr>
        <w:pStyle w:val="Corpsdetexte2"/>
        <w:shd w:val="clear" w:color="auto" w:fill="CCFFCC"/>
        <w:tabs>
          <w:tab w:val="left" w:pos="9000"/>
        </w:tabs>
        <w:ind w:left="480" w:right="404" w:firstLine="240"/>
        <w:jc w:val="both"/>
        <w:rPr>
          <w:rFonts w:ascii="Arial" w:hAnsi="Arial"/>
          <w:i w:val="0"/>
          <w:iCs w:val="0"/>
          <w:color w:val="000080"/>
        </w:rPr>
      </w:pPr>
    </w:p>
    <w:p w:rsidR="00427252" w:rsidRDefault="00427252">
      <w:pPr>
        <w:pStyle w:val="Corpsdetexte2"/>
        <w:shd w:val="clear" w:color="auto" w:fill="CCFFCC"/>
        <w:tabs>
          <w:tab w:val="left" w:pos="9000"/>
        </w:tabs>
        <w:ind w:left="480" w:right="404" w:firstLine="240"/>
        <w:jc w:val="both"/>
        <w:rPr>
          <w:rFonts w:ascii="Arial" w:hAnsi="Arial"/>
          <w:i w:val="0"/>
          <w:iCs w:val="0"/>
          <w:color w:val="000080"/>
        </w:rPr>
      </w:pPr>
      <w:r>
        <w:rPr>
          <w:rFonts w:ascii="Arial" w:hAnsi="Arial"/>
          <w:i w:val="0"/>
          <w:iCs w:val="0"/>
          <w:color w:val="000080"/>
        </w:rPr>
        <w:t>“Sleon une édtue de l’Uvinertisé de Cmabrigde, l’odrre des ltteers dnas un mot n’a pas d’ipmrotncae”</w:t>
      </w:r>
    </w:p>
    <w:p w:rsidR="00427252" w:rsidRDefault="00427252">
      <w:pPr>
        <w:widowControl w:val="0"/>
        <w:shd w:val="clear" w:color="auto" w:fill="CCFFCC"/>
        <w:tabs>
          <w:tab w:val="left" w:pos="9000"/>
        </w:tabs>
        <w:autoSpaceDE w:val="0"/>
        <w:autoSpaceDN w:val="0"/>
        <w:adjustRightInd w:val="0"/>
        <w:ind w:left="480" w:right="404" w:firstLine="240"/>
        <w:jc w:val="both"/>
        <w:rPr>
          <w:color w:val="000000"/>
          <w:spacing w:val="-1"/>
          <w:sz w:val="20"/>
          <w:szCs w:val="19"/>
        </w:rPr>
      </w:pPr>
    </w:p>
    <w:p w:rsidR="00427252" w:rsidRDefault="00427252">
      <w:pPr>
        <w:pStyle w:val="Retraitcorpsdetexte3"/>
        <w:tabs>
          <w:tab w:val="left" w:pos="9000"/>
        </w:tabs>
        <w:ind w:right="404" w:firstLine="240"/>
        <w:rPr>
          <w:sz w:val="22"/>
        </w:rPr>
      </w:pPr>
    </w:p>
    <w:p w:rsidR="00427252" w:rsidRDefault="00427252">
      <w:pPr>
        <w:pStyle w:val="Retraitcorpsdetexte3"/>
        <w:tabs>
          <w:tab w:val="left" w:pos="9000"/>
        </w:tabs>
        <w:ind w:right="404" w:firstLine="240"/>
        <w:rPr>
          <w:sz w:val="22"/>
        </w:rPr>
      </w:pPr>
      <w:r>
        <w:rPr>
          <w:sz w:val="22"/>
        </w:rPr>
        <w:t>Le texte ci-dessus peut être lu analytiquement (approche syllabique) auquel cas il n’a aucun sens. Ou être lu de façon analogique et globale auquel cas il devient :</w:t>
      </w:r>
    </w:p>
    <w:p w:rsidR="00427252" w:rsidRDefault="00427252">
      <w:pPr>
        <w:shd w:val="clear" w:color="auto" w:fill="CCFFCC"/>
        <w:tabs>
          <w:tab w:val="left" w:pos="9000"/>
        </w:tabs>
        <w:ind w:left="480" w:right="404" w:firstLine="240"/>
        <w:jc w:val="both"/>
        <w:rPr>
          <w:rFonts w:ascii="Arial" w:hAnsi="Arial" w:cs="Arial"/>
          <w:color w:val="000000"/>
          <w:spacing w:val="-1"/>
          <w:sz w:val="20"/>
          <w:szCs w:val="19"/>
        </w:rPr>
      </w:pPr>
    </w:p>
    <w:p w:rsidR="00427252" w:rsidRDefault="00427252">
      <w:pPr>
        <w:pStyle w:val="Corpsdetexte2"/>
        <w:shd w:val="clear" w:color="auto" w:fill="CCFFCC"/>
        <w:tabs>
          <w:tab w:val="left" w:pos="9000"/>
        </w:tabs>
        <w:ind w:left="480" w:right="404" w:firstLine="240"/>
        <w:jc w:val="both"/>
        <w:rPr>
          <w:rFonts w:ascii="Arial" w:hAnsi="Arial" w:cs="Arial"/>
          <w:i w:val="0"/>
          <w:iCs w:val="0"/>
          <w:color w:val="000080"/>
        </w:rPr>
      </w:pPr>
      <w:r>
        <w:rPr>
          <w:rFonts w:ascii="Arial" w:hAnsi="Arial" w:cs="Arial"/>
          <w:i w:val="0"/>
          <w:iCs w:val="0"/>
          <w:color w:val="000080"/>
        </w:rPr>
        <w:t>“Selon une étude de l’Université de Cambridge l’ordre des lettres dans un mot n’a pas d’importance”</w:t>
      </w:r>
    </w:p>
    <w:p w:rsidR="00427252" w:rsidRDefault="00427252">
      <w:pPr>
        <w:shd w:val="clear" w:color="auto" w:fill="CCFFCC"/>
        <w:tabs>
          <w:tab w:val="left" w:pos="9000"/>
        </w:tabs>
        <w:ind w:left="480" w:right="404" w:firstLine="240"/>
        <w:jc w:val="both"/>
        <w:rPr>
          <w:color w:val="000000"/>
          <w:spacing w:val="-1"/>
          <w:sz w:val="20"/>
          <w:szCs w:val="19"/>
        </w:rPr>
      </w:pPr>
    </w:p>
    <w:p w:rsidR="00427252" w:rsidRDefault="00427252">
      <w:pPr>
        <w:pStyle w:val="Normalcentr"/>
        <w:shd w:val="clear" w:color="auto" w:fill="auto"/>
        <w:tabs>
          <w:tab w:val="left" w:pos="9000"/>
        </w:tabs>
        <w:ind w:left="480" w:right="404" w:firstLine="240"/>
        <w:rPr>
          <w:sz w:val="22"/>
        </w:rPr>
      </w:pPr>
      <w:r>
        <w:rPr>
          <w:sz w:val="22"/>
        </w:rPr>
        <w:t>Notre cerveau a naturellement tendance à remplacer des éléments inconnus par des éléments déjà connus. Et ceci est malheureusement vrai aussi lorsque nous lisons une procédure, ou une procédure avec un nouvel indice !</w:t>
      </w:r>
    </w:p>
    <w:p w:rsidR="00427252" w:rsidRDefault="008B4184">
      <w:pPr>
        <w:ind w:left="360"/>
        <w:jc w:val="both"/>
        <w:rPr>
          <w:color w:val="000000"/>
          <w:spacing w:val="-1"/>
          <w:sz w:val="22"/>
          <w:szCs w:val="19"/>
        </w:rPr>
      </w:pPr>
      <w:r>
        <w:rPr>
          <w:noProof/>
          <w:sz w:val="20"/>
        </w:rPr>
        <w:drawing>
          <wp:anchor distT="0" distB="0" distL="114300" distR="114300" simplePos="0" relativeHeight="251651584" behindDoc="0" locked="0" layoutInCell="1" allowOverlap="1">
            <wp:simplePos x="0" y="0"/>
            <wp:positionH relativeFrom="column">
              <wp:posOffset>4451350</wp:posOffset>
            </wp:positionH>
            <wp:positionV relativeFrom="paragraph">
              <wp:posOffset>777875</wp:posOffset>
            </wp:positionV>
            <wp:extent cx="1568450" cy="1035050"/>
            <wp:effectExtent l="1905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1568450" cy="1035050"/>
                    </a:xfrm>
                    <a:prstGeom prst="rect">
                      <a:avLst/>
                    </a:prstGeom>
                    <a:noFill/>
                    <a:ln w="9525">
                      <a:noFill/>
                      <a:miter lim="800000"/>
                      <a:headEnd/>
                      <a:tailEnd/>
                    </a:ln>
                  </pic:spPr>
                </pic:pic>
              </a:graphicData>
            </a:graphic>
          </wp:anchor>
        </w:drawing>
      </w:r>
      <w:r w:rsidR="00427252">
        <w:rPr>
          <w:b/>
          <w:bCs/>
          <w:color w:val="000000"/>
          <w:sz w:val="22"/>
        </w:rPr>
        <w:t xml:space="preserve">Au nombre de 6, les pratiques de fiabilisation permettent à l’acteur de gérer plus efficacement ses ressources mentales, en l’entraînant à </w:t>
      </w:r>
      <w:r w:rsidR="00427252">
        <w:rPr>
          <w:b/>
          <w:bCs/>
          <w:color w:val="000000"/>
          <w:spacing w:val="-1"/>
          <w:sz w:val="22"/>
          <w:szCs w:val="19"/>
        </w:rPr>
        <w:t>entrer et</w:t>
      </w:r>
      <w:r w:rsidR="00AD0936">
        <w:rPr>
          <w:b/>
          <w:bCs/>
          <w:color w:val="000000"/>
          <w:spacing w:val="-1"/>
          <w:sz w:val="22"/>
          <w:szCs w:val="19"/>
        </w:rPr>
        <w:t>/ou à</w:t>
      </w:r>
      <w:r w:rsidR="00427252">
        <w:rPr>
          <w:b/>
          <w:bCs/>
          <w:color w:val="000000"/>
          <w:spacing w:val="-1"/>
          <w:sz w:val="22"/>
          <w:szCs w:val="19"/>
        </w:rPr>
        <w:t xml:space="preserve"> sortir d’une “routine professionnelle”.</w:t>
      </w:r>
      <w:r w:rsidR="00427252">
        <w:rPr>
          <w:color w:val="000000"/>
          <w:spacing w:val="-1"/>
          <w:sz w:val="22"/>
          <w:szCs w:val="19"/>
        </w:rPr>
        <w:t xml:space="preserve"> </w:t>
      </w:r>
      <w:r w:rsidR="00427252">
        <w:rPr>
          <w:color w:val="000000"/>
          <w:spacing w:val="-1"/>
          <w:sz w:val="22"/>
          <w:szCs w:val="19"/>
        </w:rPr>
        <w:lastRenderedPageBreak/>
        <w:t>C’est dire que ces pratiques ne concernent pas que les actions rares, complexes ou à hauts risques mais bien l’ensemble des activités, dès lors que l’on intervient sur une installation.</w:t>
      </w:r>
    </w:p>
    <w:p w:rsidR="00427252" w:rsidRDefault="00F34F35">
      <w:pPr>
        <w:ind w:left="360"/>
        <w:jc w:val="both"/>
        <w:rPr>
          <w:color w:val="000000"/>
          <w:spacing w:val="-1"/>
          <w:sz w:val="22"/>
          <w:szCs w:val="19"/>
        </w:rPr>
      </w:pPr>
      <w:r w:rsidRPr="00F34F35">
        <w:rPr>
          <w:noProof/>
          <w:sz w:val="20"/>
        </w:rPr>
        <w:pict>
          <v:rect id="_x0000_s1036" style="position:absolute;left:0;text-align:left;margin-left:-2.5pt;margin-top:9pt;width:347.85pt;height:73.35pt;z-index:251650560" o:regroupid="1" stroked="f">
            <v:textbox style="mso-next-textbox:#_x0000_s1036">
              <w:txbxContent>
                <w:p w:rsidR="00427252" w:rsidRDefault="00427252">
                  <w:pPr>
                    <w:jc w:val="both"/>
                    <w:rPr>
                      <w:sz w:val="22"/>
                    </w:rPr>
                  </w:pPr>
                  <w:r>
                    <w:rPr>
                      <w:b/>
                      <w:bCs/>
                      <w:color w:val="000000"/>
                      <w:spacing w:val="-1"/>
                      <w:sz w:val="22"/>
                      <w:szCs w:val="19"/>
                    </w:rPr>
                    <w:t>Le Pré Job Briefing :</w:t>
                  </w:r>
                  <w:r>
                    <w:rPr>
                      <w:color w:val="000000"/>
                      <w:spacing w:val="-1"/>
                      <w:sz w:val="22"/>
                      <w:szCs w:val="19"/>
                    </w:rPr>
                    <w:t xml:space="preserve"> situé après la préparation de l’activité (dont l’analyse de risques) et son appropriation par l’intervenant, et juste avant l’activité elle-même, le Pré Job Briefing est une phase spécifique de préparation mentale de l’intervenant: calage des grilles de perception adaptées, mise en mémoire de travail des risques principaux, etc.</w:t>
                  </w:r>
                </w:p>
              </w:txbxContent>
            </v:textbox>
          </v:rect>
        </w:pict>
      </w:r>
    </w:p>
    <w:p w:rsidR="00427252" w:rsidRDefault="00427252">
      <w:pPr>
        <w:ind w:left="360"/>
        <w:jc w:val="both"/>
        <w:rPr>
          <w:b/>
          <w:bCs/>
          <w:color w:val="000000"/>
          <w:spacing w:val="-1"/>
          <w:sz w:val="20"/>
          <w:szCs w:val="19"/>
        </w:rPr>
      </w:pPr>
    </w:p>
    <w:p w:rsidR="00427252" w:rsidRDefault="00427252">
      <w:pPr>
        <w:ind w:left="360"/>
        <w:jc w:val="both"/>
        <w:rPr>
          <w:b/>
          <w:bCs/>
          <w:color w:val="000000"/>
          <w:spacing w:val="-1"/>
          <w:sz w:val="20"/>
          <w:szCs w:val="19"/>
        </w:rPr>
      </w:pPr>
    </w:p>
    <w:p w:rsidR="00427252" w:rsidRDefault="00427252">
      <w:pPr>
        <w:ind w:left="360"/>
        <w:jc w:val="both"/>
        <w:rPr>
          <w:b/>
          <w:bCs/>
          <w:color w:val="000000"/>
          <w:spacing w:val="-1"/>
          <w:sz w:val="20"/>
          <w:szCs w:val="19"/>
        </w:rPr>
      </w:pPr>
    </w:p>
    <w:p w:rsidR="00427252" w:rsidRDefault="00427252">
      <w:pPr>
        <w:ind w:left="360"/>
        <w:jc w:val="both"/>
        <w:rPr>
          <w:b/>
          <w:bCs/>
          <w:color w:val="000000"/>
          <w:spacing w:val="-1"/>
          <w:sz w:val="20"/>
          <w:szCs w:val="19"/>
        </w:rPr>
      </w:pPr>
    </w:p>
    <w:p w:rsidR="00427252" w:rsidRDefault="00427252">
      <w:pPr>
        <w:ind w:left="360"/>
        <w:jc w:val="both"/>
        <w:rPr>
          <w:b/>
          <w:bCs/>
          <w:color w:val="000000"/>
          <w:spacing w:val="-1"/>
          <w:sz w:val="20"/>
          <w:szCs w:val="19"/>
        </w:rPr>
      </w:pPr>
    </w:p>
    <w:p w:rsidR="00427252" w:rsidRDefault="008B4184">
      <w:pPr>
        <w:ind w:left="360"/>
        <w:jc w:val="both"/>
        <w:rPr>
          <w:b/>
          <w:bCs/>
          <w:color w:val="000000"/>
          <w:spacing w:val="-1"/>
          <w:sz w:val="20"/>
          <w:szCs w:val="19"/>
        </w:rPr>
      </w:pPr>
      <w:r>
        <w:rPr>
          <w:noProof/>
          <w:sz w:val="20"/>
        </w:rPr>
        <w:drawing>
          <wp:anchor distT="0" distB="0" distL="114300" distR="114300" simplePos="0" relativeHeight="251666944" behindDoc="0" locked="0" layoutInCell="1" allowOverlap="1">
            <wp:simplePos x="0" y="0"/>
            <wp:positionH relativeFrom="column">
              <wp:posOffset>4419600</wp:posOffset>
            </wp:positionH>
            <wp:positionV relativeFrom="paragraph">
              <wp:posOffset>290195</wp:posOffset>
            </wp:positionV>
            <wp:extent cx="1600200" cy="931545"/>
            <wp:effectExtent l="19050" t="0" r="0" b="0"/>
            <wp:wrapTopAndBottom/>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srcRect/>
                    <a:stretch>
                      <a:fillRect/>
                    </a:stretch>
                  </pic:blipFill>
                  <pic:spPr bwMode="auto">
                    <a:xfrm>
                      <a:off x="0" y="0"/>
                      <a:ext cx="1600200" cy="931545"/>
                    </a:xfrm>
                    <a:prstGeom prst="rect">
                      <a:avLst/>
                    </a:prstGeom>
                    <a:noFill/>
                    <a:ln w="9525">
                      <a:noFill/>
                      <a:miter lim="800000"/>
                      <a:headEnd/>
                      <a:tailEnd/>
                    </a:ln>
                  </pic:spPr>
                </pic:pic>
              </a:graphicData>
            </a:graphic>
          </wp:anchor>
        </w:drawing>
      </w:r>
      <w:r>
        <w:rPr>
          <w:noProof/>
        </w:rPr>
        <w:drawing>
          <wp:anchor distT="0" distB="0" distL="114300" distR="114300" simplePos="0" relativeHeight="251652608" behindDoc="0" locked="0" layoutInCell="1" allowOverlap="1">
            <wp:simplePos x="0" y="0"/>
            <wp:positionH relativeFrom="column">
              <wp:posOffset>4451350</wp:posOffset>
            </wp:positionH>
            <wp:positionV relativeFrom="paragraph">
              <wp:posOffset>254635</wp:posOffset>
            </wp:positionV>
            <wp:extent cx="1743075" cy="931545"/>
            <wp:effectExtent l="19050" t="0" r="9525" b="0"/>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1743075" cy="931545"/>
                    </a:xfrm>
                    <a:prstGeom prst="rect">
                      <a:avLst/>
                    </a:prstGeom>
                    <a:noFill/>
                    <a:ln w="9525">
                      <a:noFill/>
                      <a:miter lim="800000"/>
                      <a:headEnd/>
                      <a:tailEnd/>
                    </a:ln>
                  </pic:spPr>
                </pic:pic>
              </a:graphicData>
            </a:graphic>
          </wp:anchor>
        </w:drawing>
      </w:r>
    </w:p>
    <w:p w:rsidR="00427252" w:rsidRDefault="008B4184">
      <w:pPr>
        <w:ind w:left="360"/>
        <w:jc w:val="both"/>
        <w:rPr>
          <w:b/>
          <w:bCs/>
          <w:color w:val="000000"/>
          <w:spacing w:val="-1"/>
          <w:sz w:val="20"/>
          <w:szCs w:val="19"/>
        </w:rPr>
      </w:pPr>
      <w:r>
        <w:rPr>
          <w:noProof/>
        </w:rPr>
        <w:drawing>
          <wp:anchor distT="0" distB="0" distL="114300" distR="114300" simplePos="0" relativeHeight="251658752" behindDoc="0" locked="0" layoutInCell="1" allowOverlap="1">
            <wp:simplePos x="0" y="0"/>
            <wp:positionH relativeFrom="column">
              <wp:posOffset>4550410</wp:posOffset>
            </wp:positionH>
            <wp:positionV relativeFrom="paragraph">
              <wp:posOffset>2282825</wp:posOffset>
            </wp:positionV>
            <wp:extent cx="1545590" cy="1052195"/>
            <wp:effectExtent l="19050" t="0" r="0" b="0"/>
            <wp:wrapTopAndBottom/>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a:stretch>
                      <a:fillRect/>
                    </a:stretch>
                  </pic:blipFill>
                  <pic:spPr bwMode="auto">
                    <a:xfrm>
                      <a:off x="0" y="0"/>
                      <a:ext cx="1545590" cy="1052195"/>
                    </a:xfrm>
                    <a:prstGeom prst="rect">
                      <a:avLst/>
                    </a:prstGeom>
                    <a:noFill/>
                    <a:ln w="9525">
                      <a:noFill/>
                      <a:miter lim="800000"/>
                      <a:headEnd/>
                      <a:tailEnd/>
                    </a:ln>
                  </pic:spPr>
                </pic:pic>
              </a:graphicData>
            </a:graphic>
          </wp:anchor>
        </w:drawing>
      </w:r>
      <w:r>
        <w:rPr>
          <w:noProof/>
        </w:rPr>
        <w:drawing>
          <wp:anchor distT="0" distB="0" distL="114300" distR="114300" simplePos="0" relativeHeight="251654656" behindDoc="0" locked="0" layoutInCell="1" allowOverlap="1">
            <wp:simplePos x="0" y="0"/>
            <wp:positionH relativeFrom="column">
              <wp:posOffset>4483100</wp:posOffset>
            </wp:positionH>
            <wp:positionV relativeFrom="paragraph">
              <wp:posOffset>1247775</wp:posOffset>
            </wp:positionV>
            <wp:extent cx="1612900" cy="931545"/>
            <wp:effectExtent l="19050" t="0" r="6350" b="0"/>
            <wp:wrapTopAndBottom/>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1612900" cy="931545"/>
                    </a:xfrm>
                    <a:prstGeom prst="rect">
                      <a:avLst/>
                    </a:prstGeom>
                    <a:noFill/>
                    <a:ln w="9525">
                      <a:noFill/>
                      <a:miter lim="800000"/>
                      <a:headEnd/>
                      <a:tailEnd/>
                    </a:ln>
                  </pic:spPr>
                </pic:pic>
              </a:graphicData>
            </a:graphic>
          </wp:anchor>
        </w:drawing>
      </w:r>
      <w:r w:rsidR="00F34F35" w:rsidRPr="00F34F35">
        <w:rPr>
          <w:noProof/>
          <w:sz w:val="20"/>
        </w:rPr>
        <w:pict>
          <v:rect id="_x0000_s1053" style="position:absolute;left:0;text-align:left;margin-left:-2.5pt;margin-top:183.05pt;width:348pt;height:73.35pt;z-index:251659776;mso-position-horizontal-relative:text;mso-position-vertical-relative:text" stroked="f">
            <v:textbox style="mso-next-textbox:#_x0000_s1053">
              <w:txbxContent>
                <w:p w:rsidR="00427252" w:rsidRDefault="00D46129">
                  <w:pPr>
                    <w:jc w:val="both"/>
                    <w:rPr>
                      <w:sz w:val="22"/>
                    </w:rPr>
                  </w:pPr>
                  <w:r>
                    <w:rPr>
                      <w:b/>
                      <w:bCs/>
                      <w:color w:val="000000"/>
                      <w:spacing w:val="-1"/>
                      <w:sz w:val="22"/>
                      <w:szCs w:val="19"/>
                    </w:rPr>
                    <w:t>La Communication S</w:t>
                  </w:r>
                  <w:r w:rsidR="00427252">
                    <w:rPr>
                      <w:b/>
                      <w:bCs/>
                      <w:color w:val="000000"/>
                      <w:spacing w:val="-1"/>
                      <w:sz w:val="22"/>
                      <w:szCs w:val="19"/>
                    </w:rPr>
                    <w:t>écurisée</w:t>
                  </w:r>
                  <w:r w:rsidR="00427252">
                    <w:rPr>
                      <w:sz w:val="22"/>
                    </w:rPr>
                    <w:t>:</w:t>
                  </w:r>
                  <w:r w:rsidR="00427252">
                    <w:t xml:space="preserve"> </w:t>
                  </w:r>
                  <w:r w:rsidR="00427252">
                    <w:rPr>
                      <w:sz w:val="22"/>
                    </w:rPr>
                    <w:t>elle permet de s’assurer qu’une information a bien atteint la conscience de l’intervenant pendant qu’il était concentré sur son activité. Le destinataire doit répéter l’information reçue et l’émetteur doit confirmer l’exactitude de la répétition.</w:t>
                  </w:r>
                </w:p>
              </w:txbxContent>
            </v:textbox>
          </v:rect>
        </w:pict>
      </w:r>
      <w:r w:rsidR="00F34F35" w:rsidRPr="00F34F35">
        <w:rPr>
          <w:noProof/>
          <w:sz w:val="20"/>
        </w:rPr>
        <w:pict>
          <v:rect id="_x0000_s1048" style="position:absolute;left:0;text-align:left;margin-left:-2.5pt;margin-top:285.65pt;width:348pt;height:61.9pt;z-index:251657728;mso-position-horizontal-relative:text;mso-position-vertical-relative:text" stroked="f">
            <v:textbox style="mso-next-textbox:#_x0000_s1048">
              <w:txbxContent>
                <w:p w:rsidR="00427252" w:rsidRDefault="00D46129">
                  <w:pPr>
                    <w:jc w:val="both"/>
                    <w:rPr>
                      <w:sz w:val="22"/>
                    </w:rPr>
                  </w:pPr>
                  <w:r>
                    <w:rPr>
                      <w:b/>
                      <w:bCs/>
                      <w:color w:val="000000"/>
                      <w:spacing w:val="-1"/>
                      <w:sz w:val="22"/>
                      <w:szCs w:val="19"/>
                    </w:rPr>
                    <w:t>Le Contrôle C</w:t>
                  </w:r>
                  <w:r w:rsidR="00427252">
                    <w:rPr>
                      <w:b/>
                      <w:bCs/>
                      <w:color w:val="000000"/>
                      <w:spacing w:val="-1"/>
                      <w:sz w:val="22"/>
                      <w:szCs w:val="19"/>
                    </w:rPr>
                    <w:t xml:space="preserve">roisé </w:t>
                  </w:r>
                  <w:r w:rsidR="00427252">
                    <w:rPr>
                      <w:color w:val="000000"/>
                      <w:spacing w:val="-1"/>
                      <w:sz w:val="22"/>
                      <w:szCs w:val="19"/>
                    </w:rPr>
                    <w:t xml:space="preserve">: en plus de l’autocontrôle, </w:t>
                  </w:r>
                  <w:r>
                    <w:rPr>
                      <w:color w:val="000000"/>
                      <w:spacing w:val="-1"/>
                      <w:sz w:val="22"/>
                      <w:szCs w:val="19"/>
                    </w:rPr>
                    <w:t xml:space="preserve">il demande </w:t>
                  </w:r>
                  <w:r w:rsidR="00427252">
                    <w:rPr>
                      <w:color w:val="000000"/>
                      <w:spacing w:val="-1"/>
                      <w:sz w:val="22"/>
                      <w:szCs w:val="19"/>
                    </w:rPr>
                    <w:t>à un tiers de vérifier la cohérence entre l’intention annoncée et l’ébauche de l’action à réaliser avant que  celle-ci ne commence. Il permet de renforcer la posture analytiq</w:t>
                  </w:r>
                  <w:r>
                    <w:rPr>
                      <w:color w:val="000000"/>
                      <w:spacing w:val="-1"/>
                      <w:sz w:val="22"/>
                      <w:szCs w:val="19"/>
                    </w:rPr>
                    <w:t>ue de vigilance pour les actions irréversibles.</w:t>
                  </w:r>
                </w:p>
              </w:txbxContent>
            </v:textbox>
          </v:rect>
        </w:pict>
      </w:r>
      <w:r w:rsidR="00F34F35" w:rsidRPr="00F34F35">
        <w:rPr>
          <w:noProof/>
          <w:sz w:val="20"/>
        </w:rPr>
        <w:pict>
          <v:rect id="_x0000_s1041" style="position:absolute;left:0;text-align:left;margin-left:-2.5pt;margin-top:8.55pt;width:347.85pt;height:82.9pt;z-index:251653632;mso-position-horizontal-relative:text;mso-position-vertical-relative:text" stroked="f">
            <v:textbox style="mso-next-textbox:#_x0000_s1041">
              <w:txbxContent>
                <w:p w:rsidR="00427252" w:rsidRDefault="00D46129">
                  <w:pPr>
                    <w:jc w:val="both"/>
                    <w:rPr>
                      <w:sz w:val="22"/>
                    </w:rPr>
                  </w:pPr>
                  <w:r>
                    <w:rPr>
                      <w:b/>
                      <w:bCs/>
                      <w:color w:val="000000"/>
                      <w:spacing w:val="-1"/>
                      <w:sz w:val="22"/>
                      <w:szCs w:val="19"/>
                    </w:rPr>
                    <w:t>La Minute d’A</w:t>
                  </w:r>
                  <w:r w:rsidR="00427252">
                    <w:rPr>
                      <w:b/>
                      <w:bCs/>
                      <w:color w:val="000000"/>
                      <w:spacing w:val="-1"/>
                      <w:sz w:val="22"/>
                      <w:szCs w:val="19"/>
                    </w:rPr>
                    <w:t xml:space="preserve">rrêt : </w:t>
                  </w:r>
                  <w:r w:rsidR="00427252">
                    <w:rPr>
                      <w:color w:val="000000"/>
                      <w:spacing w:val="-1"/>
                      <w:sz w:val="22"/>
                      <w:szCs w:val="19"/>
                    </w:rPr>
                    <w:t>située sur le lieu de l’intervention et juste avant son début, elle demande de sortir de l’urgence de l’action pour jeter un regard analytique sur l’environnement de travail: suis-je sur la bonne tranche ? la bonne voie ? le bon matériel ? ai-je un risque d’accident ? etc. La “minute d’arrêt” est également utilisée lors des interruptions et lors des dérives progressives des situations hors du cadre prévu.</w:t>
                  </w:r>
                </w:p>
              </w:txbxContent>
            </v:textbox>
          </v:rect>
        </w:pict>
      </w:r>
      <w:r w:rsidR="00F34F35" w:rsidRPr="00F34F35">
        <w:rPr>
          <w:noProof/>
          <w:sz w:val="20"/>
        </w:rPr>
        <w:pict>
          <v:rect id="_x0000_s1046" style="position:absolute;left:0;text-align:left;margin-left:-2.5pt;margin-top:103.65pt;width:348pt;height:67pt;z-index:251655680;mso-position-horizontal-relative:text;mso-position-vertical-relative:text" stroked="f">
            <v:textbox style="mso-next-textbox:#_x0000_s1046">
              <w:txbxContent>
                <w:p w:rsidR="00427252" w:rsidRDefault="00D46129">
                  <w:pPr>
                    <w:jc w:val="both"/>
                    <w:rPr>
                      <w:sz w:val="22"/>
                    </w:rPr>
                  </w:pPr>
                  <w:r>
                    <w:rPr>
                      <w:b/>
                      <w:bCs/>
                      <w:color w:val="000000"/>
                      <w:spacing w:val="-1"/>
                      <w:sz w:val="22"/>
                      <w:szCs w:val="19"/>
                    </w:rPr>
                    <w:t>L’A</w:t>
                  </w:r>
                  <w:r w:rsidR="00427252">
                    <w:rPr>
                      <w:b/>
                      <w:bCs/>
                      <w:color w:val="000000"/>
                      <w:spacing w:val="-1"/>
                      <w:sz w:val="22"/>
                      <w:szCs w:val="19"/>
                    </w:rPr>
                    <w:t xml:space="preserve">utocontrôle </w:t>
                  </w:r>
                  <w:r w:rsidR="00427252">
                    <w:rPr>
                      <w:color w:val="000000"/>
                      <w:spacing w:val="-1"/>
                      <w:sz w:val="22"/>
                      <w:szCs w:val="19"/>
                    </w:rPr>
                    <w:t>:il permet d’échapper à la logique analogique globale habituelle pour poser une lecture analytique (à haute voix et en pointant du doigt) de l’identifiant sur la procédure puis de son correspondant sur le matériel avant mise en œuvre d’une action.</w:t>
                  </w:r>
                </w:p>
              </w:txbxContent>
            </v:textbox>
          </v:rect>
        </w:pict>
      </w:r>
    </w:p>
    <w:p w:rsidR="00427252" w:rsidRDefault="008B4184">
      <w:pPr>
        <w:ind w:left="360"/>
        <w:jc w:val="both"/>
        <w:rPr>
          <w:b/>
          <w:bCs/>
          <w:color w:val="000000"/>
          <w:spacing w:val="-1"/>
          <w:sz w:val="20"/>
          <w:szCs w:val="19"/>
        </w:rPr>
      </w:pPr>
      <w:r>
        <w:rPr>
          <w:noProof/>
        </w:rPr>
        <w:drawing>
          <wp:anchor distT="0" distB="0" distL="114300" distR="114300" simplePos="0" relativeHeight="251656704" behindDoc="0" locked="0" layoutInCell="1" allowOverlap="1">
            <wp:simplePos x="0" y="0"/>
            <wp:positionH relativeFrom="column">
              <wp:posOffset>4648200</wp:posOffset>
            </wp:positionH>
            <wp:positionV relativeFrom="paragraph">
              <wp:posOffset>1382395</wp:posOffset>
            </wp:positionV>
            <wp:extent cx="1524000" cy="977900"/>
            <wp:effectExtent l="19050" t="0" r="0" b="0"/>
            <wp:wrapTopAndBottom/>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srcRect/>
                    <a:stretch>
                      <a:fillRect/>
                    </a:stretch>
                  </pic:blipFill>
                  <pic:spPr bwMode="auto">
                    <a:xfrm>
                      <a:off x="0" y="0"/>
                      <a:ext cx="1524000" cy="977900"/>
                    </a:xfrm>
                    <a:prstGeom prst="rect">
                      <a:avLst/>
                    </a:prstGeom>
                    <a:noFill/>
                    <a:ln w="9525">
                      <a:noFill/>
                      <a:miter lim="800000"/>
                      <a:headEnd/>
                      <a:tailEnd/>
                    </a:ln>
                  </pic:spPr>
                </pic:pic>
              </a:graphicData>
            </a:graphic>
          </wp:anchor>
        </w:drawing>
      </w:r>
    </w:p>
    <w:p w:rsidR="00427252" w:rsidRDefault="008B4184">
      <w:pPr>
        <w:ind w:left="360"/>
        <w:jc w:val="both"/>
        <w:rPr>
          <w:b/>
          <w:bCs/>
          <w:color w:val="000000"/>
          <w:spacing w:val="-1"/>
          <w:sz w:val="20"/>
          <w:szCs w:val="19"/>
        </w:rPr>
      </w:pPr>
      <w:r>
        <w:rPr>
          <w:noProof/>
          <w:color w:val="000000"/>
          <w:spacing w:val="-1"/>
          <w:sz w:val="20"/>
          <w:szCs w:val="19"/>
        </w:rPr>
        <w:drawing>
          <wp:anchor distT="0" distB="0" distL="114300" distR="114300" simplePos="0" relativeHeight="251665920" behindDoc="0" locked="0" layoutInCell="1" allowOverlap="1">
            <wp:simplePos x="0" y="0"/>
            <wp:positionH relativeFrom="column">
              <wp:posOffset>4648200</wp:posOffset>
            </wp:positionH>
            <wp:positionV relativeFrom="paragraph">
              <wp:posOffset>-6350</wp:posOffset>
            </wp:positionV>
            <wp:extent cx="1447800" cy="1035050"/>
            <wp:effectExtent l="1905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srcRect/>
                    <a:stretch>
                      <a:fillRect/>
                    </a:stretch>
                  </pic:blipFill>
                  <pic:spPr bwMode="auto">
                    <a:xfrm>
                      <a:off x="0" y="0"/>
                      <a:ext cx="1447800" cy="1035050"/>
                    </a:xfrm>
                    <a:prstGeom prst="rect">
                      <a:avLst/>
                    </a:prstGeom>
                    <a:noFill/>
                    <a:ln w="9525">
                      <a:noFill/>
                      <a:miter lim="800000"/>
                      <a:headEnd/>
                      <a:tailEnd/>
                    </a:ln>
                    <a:effectLst/>
                  </pic:spPr>
                </pic:pic>
              </a:graphicData>
            </a:graphic>
          </wp:anchor>
        </w:drawing>
      </w:r>
      <w:r w:rsidR="00F34F35" w:rsidRPr="00F34F35">
        <w:rPr>
          <w:noProof/>
          <w:sz w:val="20"/>
        </w:rPr>
        <w:pict>
          <v:rect id="_x0000_s1059" style="position:absolute;left:0;text-align:left;margin-left:-6pt;margin-top:4.15pt;width:348pt;height:73.35pt;z-index:251664896;mso-position-horizontal-relative:text;mso-position-vertical-relative:text" stroked="f">
            <v:textbox style="mso-next-textbox:#_x0000_s1059">
              <w:txbxContent>
                <w:p w:rsidR="00427252" w:rsidRDefault="00427252">
                  <w:pPr>
                    <w:jc w:val="both"/>
                    <w:rPr>
                      <w:rFonts w:eastAsia="Arial Unicode MS"/>
                      <w:vanish/>
                      <w:sz w:val="22"/>
                    </w:rPr>
                  </w:pPr>
                  <w:r>
                    <w:rPr>
                      <w:b/>
                      <w:bCs/>
                      <w:color w:val="000000"/>
                      <w:spacing w:val="-1"/>
                      <w:sz w:val="22"/>
                      <w:szCs w:val="19"/>
                    </w:rPr>
                    <w:t xml:space="preserve">Le Débriefing </w:t>
                  </w:r>
                  <w:r>
                    <w:rPr>
                      <w:spacing w:val="-1"/>
                      <w:sz w:val="22"/>
                      <w:szCs w:val="19"/>
                    </w:rPr>
                    <w:t xml:space="preserve">: </w:t>
                  </w:r>
                  <w:r>
                    <w:rPr>
                      <w:sz w:val="22"/>
                      <w:szCs w:val="28"/>
                    </w:rPr>
                    <w:t xml:space="preserve">Il permet de terminer définitivement une activité  en exprimant les difficultés rencontrées dans l’action et les moyens innovants mis en  place afin d’atteindre le résultat. C’est un point d’enclenchement d’une boucle de progrès pour les futures interventions. </w:t>
                  </w:r>
                </w:p>
                <w:p w:rsidR="00427252" w:rsidRDefault="00427252">
                  <w:pPr>
                    <w:jc w:val="both"/>
                    <w:rPr>
                      <w:sz w:val="22"/>
                    </w:rPr>
                  </w:pPr>
                </w:p>
              </w:txbxContent>
            </v:textbox>
          </v:rect>
        </w:pict>
      </w:r>
    </w:p>
    <w:p w:rsidR="00427252" w:rsidRDefault="00427252">
      <w:pPr>
        <w:ind w:left="360"/>
        <w:jc w:val="both"/>
        <w:rPr>
          <w:color w:val="000000"/>
          <w:spacing w:val="-1"/>
          <w:sz w:val="20"/>
          <w:szCs w:val="19"/>
        </w:rPr>
      </w:pPr>
    </w:p>
    <w:p w:rsidR="00427252" w:rsidRDefault="00427252">
      <w:pPr>
        <w:ind w:left="360"/>
        <w:jc w:val="both"/>
        <w:rPr>
          <w:color w:val="000000"/>
          <w:spacing w:val="-1"/>
          <w:sz w:val="20"/>
          <w:szCs w:val="19"/>
        </w:rPr>
      </w:pPr>
    </w:p>
    <w:p w:rsidR="00427252" w:rsidRDefault="00427252">
      <w:pPr>
        <w:ind w:left="360"/>
        <w:jc w:val="both"/>
        <w:rPr>
          <w:b/>
          <w:bCs/>
          <w:color w:val="000000"/>
          <w:spacing w:val="-1"/>
          <w:sz w:val="20"/>
          <w:szCs w:val="19"/>
        </w:rPr>
      </w:pPr>
      <w:r>
        <w:rPr>
          <w:color w:val="000000"/>
          <w:spacing w:val="-1"/>
          <w:sz w:val="20"/>
          <w:szCs w:val="19"/>
        </w:rPr>
        <w:t xml:space="preserve"> </w:t>
      </w:r>
    </w:p>
    <w:p w:rsidR="00427252" w:rsidRDefault="00427252">
      <w:pPr>
        <w:ind w:left="360"/>
        <w:jc w:val="both"/>
        <w:rPr>
          <w:color w:val="000000"/>
          <w:spacing w:val="-1"/>
          <w:sz w:val="20"/>
          <w:szCs w:val="19"/>
        </w:rPr>
      </w:pPr>
    </w:p>
    <w:p w:rsidR="00427252" w:rsidRDefault="00427252">
      <w:pPr>
        <w:ind w:left="360"/>
        <w:jc w:val="both"/>
        <w:rPr>
          <w:b/>
          <w:bCs/>
          <w:color w:val="000000"/>
          <w:spacing w:val="-1"/>
          <w:sz w:val="20"/>
          <w:szCs w:val="19"/>
        </w:rPr>
      </w:pPr>
    </w:p>
    <w:p w:rsidR="00427252" w:rsidRDefault="00427252">
      <w:pPr>
        <w:ind w:left="360"/>
        <w:jc w:val="both"/>
        <w:rPr>
          <w:color w:val="000000"/>
          <w:spacing w:val="-1"/>
          <w:sz w:val="20"/>
          <w:szCs w:val="19"/>
        </w:rPr>
      </w:pPr>
    </w:p>
    <w:p w:rsidR="00427252" w:rsidRDefault="00427252">
      <w:pPr>
        <w:ind w:left="360"/>
        <w:jc w:val="both"/>
        <w:rPr>
          <w:color w:val="000000"/>
          <w:spacing w:val="-1"/>
          <w:sz w:val="20"/>
          <w:szCs w:val="19"/>
        </w:rPr>
      </w:pPr>
    </w:p>
    <w:p w:rsidR="00427252" w:rsidRDefault="00427252">
      <w:pPr>
        <w:ind w:left="360" w:hanging="120"/>
        <w:jc w:val="both"/>
        <w:rPr>
          <w:b/>
          <w:bCs/>
          <w:color w:val="000000"/>
          <w:spacing w:val="-1"/>
          <w:sz w:val="22"/>
          <w:szCs w:val="22"/>
        </w:rPr>
      </w:pPr>
    </w:p>
    <w:p w:rsidR="00427252" w:rsidRDefault="00427252" w:rsidP="00AD0936">
      <w:pPr>
        <w:jc w:val="both"/>
        <w:rPr>
          <w:b/>
          <w:bCs/>
          <w:color w:val="000000"/>
          <w:spacing w:val="-1"/>
          <w:sz w:val="22"/>
          <w:szCs w:val="19"/>
        </w:rPr>
      </w:pPr>
      <w:r>
        <w:rPr>
          <w:b/>
          <w:bCs/>
          <w:color w:val="000000"/>
          <w:spacing w:val="-1"/>
          <w:sz w:val="22"/>
          <w:szCs w:val="19"/>
        </w:rPr>
        <w:t xml:space="preserve">Notons qu’aucune </w:t>
      </w:r>
      <w:r w:rsidR="00AD0936">
        <w:rPr>
          <w:b/>
          <w:bCs/>
          <w:color w:val="000000"/>
          <w:spacing w:val="-1"/>
          <w:sz w:val="22"/>
          <w:szCs w:val="19"/>
        </w:rPr>
        <w:t xml:space="preserve">traçabilité n’est exigée lors de la mise en œuvre de ces pratiques afin d’éviter toute dérive “administrative ».Seul </w:t>
      </w:r>
      <w:r>
        <w:rPr>
          <w:b/>
          <w:bCs/>
          <w:color w:val="000000"/>
          <w:spacing w:val="-1"/>
          <w:sz w:val="22"/>
          <w:szCs w:val="19"/>
        </w:rPr>
        <w:t>le contenu du débriefi</w:t>
      </w:r>
      <w:r w:rsidR="00AD0936">
        <w:rPr>
          <w:b/>
          <w:bCs/>
          <w:color w:val="000000"/>
          <w:spacing w:val="-1"/>
          <w:sz w:val="22"/>
          <w:szCs w:val="19"/>
        </w:rPr>
        <w:t>ng peut faire</w:t>
      </w:r>
      <w:r w:rsidR="00D46129">
        <w:rPr>
          <w:b/>
          <w:bCs/>
          <w:color w:val="000000"/>
          <w:spacing w:val="-1"/>
          <w:sz w:val="22"/>
          <w:szCs w:val="19"/>
        </w:rPr>
        <w:t xml:space="preserve"> l’objet d’une traçabilité</w:t>
      </w:r>
      <w:r>
        <w:rPr>
          <w:b/>
          <w:bCs/>
          <w:color w:val="000000"/>
          <w:spacing w:val="-1"/>
          <w:sz w:val="22"/>
          <w:szCs w:val="19"/>
        </w:rPr>
        <w:t xml:space="preserve"> écrit</w:t>
      </w:r>
      <w:r w:rsidR="00D46129">
        <w:rPr>
          <w:b/>
          <w:bCs/>
          <w:color w:val="000000"/>
          <w:spacing w:val="-1"/>
          <w:sz w:val="22"/>
          <w:szCs w:val="19"/>
        </w:rPr>
        <w:t>e</w:t>
      </w:r>
      <w:r>
        <w:rPr>
          <w:b/>
          <w:bCs/>
          <w:color w:val="000000"/>
          <w:spacing w:val="-1"/>
          <w:sz w:val="22"/>
          <w:szCs w:val="19"/>
        </w:rPr>
        <w:t>,.</w:t>
      </w:r>
    </w:p>
    <w:p w:rsidR="00AD0936" w:rsidRDefault="00AD0936" w:rsidP="00AD0936">
      <w:pPr>
        <w:jc w:val="both"/>
        <w:rPr>
          <w:b/>
          <w:bCs/>
          <w:color w:val="000000"/>
          <w:spacing w:val="-1"/>
          <w:sz w:val="22"/>
          <w:szCs w:val="19"/>
        </w:rPr>
      </w:pPr>
    </w:p>
    <w:p w:rsidR="00AD0936" w:rsidRDefault="00AD0936" w:rsidP="00AD0936">
      <w:pPr>
        <w:jc w:val="both"/>
        <w:rPr>
          <w:bCs/>
          <w:color w:val="000000"/>
          <w:spacing w:val="-1"/>
          <w:sz w:val="22"/>
          <w:szCs w:val="19"/>
        </w:rPr>
      </w:pPr>
      <w:r w:rsidRPr="00AD0936">
        <w:rPr>
          <w:bCs/>
          <w:color w:val="000000"/>
          <w:spacing w:val="-1"/>
          <w:sz w:val="22"/>
          <w:szCs w:val="19"/>
        </w:rPr>
        <w:t>L’exigence de la DPN a été formalisée</w:t>
      </w:r>
      <w:r>
        <w:rPr>
          <w:bCs/>
          <w:color w:val="000000"/>
          <w:spacing w:val="-1"/>
          <w:sz w:val="22"/>
          <w:szCs w:val="19"/>
        </w:rPr>
        <w:t xml:space="preserve"> de la façon suivante :</w:t>
      </w:r>
    </w:p>
    <w:p w:rsidR="00AD0936" w:rsidRDefault="00AD0936" w:rsidP="00AD0936">
      <w:pPr>
        <w:jc w:val="both"/>
        <w:rPr>
          <w:bCs/>
          <w:color w:val="000000"/>
          <w:spacing w:val="-1"/>
          <w:sz w:val="22"/>
          <w:szCs w:val="19"/>
        </w:rPr>
      </w:pPr>
      <w:r>
        <w:rPr>
          <w:bCs/>
          <w:color w:val="000000"/>
          <w:spacing w:val="-1"/>
          <w:sz w:val="22"/>
          <w:szCs w:val="19"/>
        </w:rPr>
        <w:lastRenderedPageBreak/>
        <w:t>« Pour tous les métiers dont l’activité est liée à l’outil de production, et en particulier pour tous ceux directement liés au process, la direction de la DPN a décidé la mise en œuvre de six pratiques de fiabilisation des interventions.</w:t>
      </w:r>
    </w:p>
    <w:p w:rsidR="00AD0936" w:rsidRDefault="00AD0936" w:rsidP="00AD0936">
      <w:pPr>
        <w:jc w:val="both"/>
        <w:rPr>
          <w:b/>
          <w:bCs/>
          <w:color w:val="000000"/>
          <w:spacing w:val="-1"/>
          <w:sz w:val="22"/>
          <w:szCs w:val="19"/>
        </w:rPr>
      </w:pPr>
      <w:r>
        <w:rPr>
          <w:bCs/>
          <w:color w:val="000000"/>
          <w:spacing w:val="-1"/>
          <w:sz w:val="22"/>
          <w:szCs w:val="19"/>
        </w:rPr>
        <w:t xml:space="preserve">En application des principes et exigences du référentiel, sous la responsabilité et le contrôle du management, </w:t>
      </w:r>
      <w:r w:rsidRPr="00AD0936">
        <w:rPr>
          <w:b/>
          <w:bCs/>
          <w:color w:val="000000"/>
          <w:spacing w:val="-1"/>
          <w:sz w:val="22"/>
          <w:szCs w:val="19"/>
        </w:rPr>
        <w:t>ces six pratiques doivent faire l’objet d’une mise en œuvre pertinente, dans le cadre normal de l’attitude interrogative, de la démarche d’analyse de risques et de l’exploitation du REX, pour toutes activités en lien avec les installations.</w:t>
      </w:r>
    </w:p>
    <w:p w:rsidR="00DC3548" w:rsidRPr="00DC3548" w:rsidRDefault="00DC3548" w:rsidP="00AD0936">
      <w:pPr>
        <w:jc w:val="both"/>
        <w:rPr>
          <w:bCs/>
          <w:color w:val="000000"/>
          <w:spacing w:val="-1"/>
          <w:sz w:val="22"/>
          <w:szCs w:val="19"/>
        </w:rPr>
      </w:pPr>
      <w:r w:rsidRPr="00DC3548">
        <w:rPr>
          <w:bCs/>
          <w:color w:val="000000"/>
          <w:spacing w:val="-1"/>
          <w:sz w:val="22"/>
          <w:szCs w:val="19"/>
        </w:rPr>
        <w:t>La notion de « mise en œuvre pertinente » peut être définie plus concrètement, au regard des activités et des conditions de leur réalisation, par les métiers, au sein des collectifs de travail, avec validation du management.</w:t>
      </w:r>
      <w:r>
        <w:rPr>
          <w:bCs/>
          <w:color w:val="000000"/>
          <w:spacing w:val="-1"/>
          <w:sz w:val="22"/>
          <w:szCs w:val="19"/>
        </w:rPr>
        <w:t> »</w:t>
      </w:r>
    </w:p>
    <w:p w:rsidR="00DC3548" w:rsidRDefault="00DC3548">
      <w:pPr>
        <w:ind w:left="360" w:hanging="120"/>
        <w:jc w:val="both"/>
        <w:rPr>
          <w:b/>
          <w:bCs/>
          <w:color w:val="000000"/>
          <w:spacing w:val="-1"/>
          <w:sz w:val="22"/>
          <w:szCs w:val="22"/>
        </w:rPr>
      </w:pPr>
    </w:p>
    <w:p w:rsidR="00DC3548" w:rsidRDefault="00DC3548">
      <w:pPr>
        <w:ind w:left="360" w:hanging="120"/>
        <w:jc w:val="both"/>
        <w:rPr>
          <w:b/>
          <w:bCs/>
          <w:color w:val="000000"/>
          <w:spacing w:val="-1"/>
          <w:sz w:val="22"/>
          <w:szCs w:val="22"/>
        </w:rPr>
      </w:pPr>
    </w:p>
    <w:p w:rsidR="00427252" w:rsidRDefault="00D46129">
      <w:pPr>
        <w:ind w:left="360" w:hanging="120"/>
        <w:jc w:val="both"/>
        <w:rPr>
          <w:b/>
          <w:bCs/>
          <w:color w:val="000000"/>
          <w:spacing w:val="-1"/>
          <w:sz w:val="22"/>
          <w:szCs w:val="22"/>
        </w:rPr>
      </w:pPr>
      <w:r>
        <w:rPr>
          <w:b/>
          <w:bCs/>
          <w:color w:val="000000"/>
          <w:spacing w:val="-1"/>
          <w:sz w:val="22"/>
          <w:szCs w:val="22"/>
        </w:rPr>
        <w:t>2.3 La Visite T</w:t>
      </w:r>
      <w:r w:rsidR="00427252">
        <w:rPr>
          <w:b/>
          <w:bCs/>
          <w:color w:val="000000"/>
          <w:spacing w:val="-1"/>
          <w:sz w:val="22"/>
          <w:szCs w:val="22"/>
        </w:rPr>
        <w:t>errain</w:t>
      </w:r>
    </w:p>
    <w:p w:rsidR="00427252" w:rsidRDefault="00F34F35">
      <w:pPr>
        <w:ind w:left="360" w:hanging="120"/>
        <w:jc w:val="both"/>
        <w:rPr>
          <w:b/>
          <w:bCs/>
          <w:color w:val="000000"/>
          <w:spacing w:val="-1"/>
          <w:sz w:val="22"/>
          <w:szCs w:val="22"/>
        </w:rPr>
      </w:pPr>
      <w:r w:rsidRPr="00F34F35">
        <w:rPr>
          <w:b/>
          <w:bCs/>
          <w:noProof/>
          <w:color w:val="000000"/>
          <w:spacing w:val="-1"/>
          <w:sz w:val="20"/>
          <w:szCs w:val="22"/>
        </w:rPr>
        <w:pict>
          <v:group id="_x0000_s1054" style="position:absolute;left:0;text-align:left;margin-left:12pt;margin-top:3.5pt;width:462pt;height:146.85pt;z-index:251649536" coordorigin="1658,7028" coordsize="9240,3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1658;top:7191;width:4800;height:3096" fillcolor="#0c9">
              <v:imagedata r:id="rId14" o:title=""/>
            </v:shape>
            <v:shape id="_x0000_s1032" type="#_x0000_t75" style="position:absolute;left:6698;top:7028;width:4200;height:3249" fillcolor="#0c9">
              <v:imagedata r:id="rId15" o:title=""/>
            </v:shape>
          </v:group>
        </w:pict>
      </w:r>
    </w:p>
    <w:p w:rsidR="00427252" w:rsidRDefault="00427252">
      <w:pPr>
        <w:ind w:left="360" w:hanging="120"/>
        <w:jc w:val="both"/>
        <w:rPr>
          <w:b/>
          <w:bCs/>
          <w:color w:val="000000"/>
          <w:spacing w:val="-1"/>
          <w:sz w:val="22"/>
          <w:szCs w:val="22"/>
        </w:rPr>
      </w:pPr>
    </w:p>
    <w:p w:rsidR="00427252" w:rsidRDefault="00427252">
      <w:pPr>
        <w:ind w:left="360" w:hanging="120"/>
        <w:jc w:val="both"/>
        <w:rPr>
          <w:b/>
          <w:bCs/>
          <w:color w:val="000000"/>
          <w:spacing w:val="-1"/>
          <w:sz w:val="22"/>
          <w:szCs w:val="22"/>
        </w:rPr>
      </w:pPr>
    </w:p>
    <w:p w:rsidR="00427252" w:rsidRDefault="00427252">
      <w:pPr>
        <w:ind w:left="360" w:hanging="120"/>
        <w:jc w:val="both"/>
        <w:rPr>
          <w:b/>
          <w:bCs/>
          <w:color w:val="000000"/>
          <w:spacing w:val="-1"/>
          <w:sz w:val="22"/>
          <w:szCs w:val="22"/>
        </w:rPr>
      </w:pPr>
    </w:p>
    <w:p w:rsidR="00427252" w:rsidRDefault="00427252">
      <w:pPr>
        <w:ind w:left="360" w:hanging="120"/>
        <w:jc w:val="both"/>
        <w:rPr>
          <w:b/>
          <w:bCs/>
          <w:color w:val="000000"/>
          <w:spacing w:val="-1"/>
          <w:sz w:val="22"/>
          <w:szCs w:val="22"/>
        </w:rPr>
      </w:pPr>
    </w:p>
    <w:p w:rsidR="00427252" w:rsidRDefault="00427252">
      <w:pPr>
        <w:ind w:left="360" w:hanging="120"/>
        <w:jc w:val="both"/>
        <w:rPr>
          <w:b/>
          <w:bCs/>
          <w:color w:val="000000"/>
          <w:spacing w:val="-1"/>
          <w:sz w:val="22"/>
          <w:szCs w:val="22"/>
        </w:rPr>
      </w:pPr>
    </w:p>
    <w:p w:rsidR="00427252" w:rsidRDefault="00427252">
      <w:pPr>
        <w:ind w:left="360" w:hanging="120"/>
        <w:jc w:val="both"/>
        <w:rPr>
          <w:b/>
          <w:bCs/>
          <w:color w:val="000000"/>
          <w:spacing w:val="-1"/>
          <w:sz w:val="22"/>
          <w:szCs w:val="22"/>
        </w:rPr>
      </w:pPr>
    </w:p>
    <w:p w:rsidR="00427252" w:rsidRDefault="00427252">
      <w:pPr>
        <w:ind w:left="360" w:hanging="120"/>
        <w:jc w:val="both"/>
        <w:rPr>
          <w:b/>
          <w:bCs/>
          <w:color w:val="000000"/>
          <w:spacing w:val="-1"/>
          <w:sz w:val="22"/>
          <w:szCs w:val="22"/>
        </w:rPr>
      </w:pPr>
    </w:p>
    <w:p w:rsidR="00427252" w:rsidRDefault="00427252">
      <w:pPr>
        <w:ind w:left="360" w:hanging="120"/>
        <w:jc w:val="both"/>
        <w:rPr>
          <w:b/>
          <w:bCs/>
          <w:color w:val="000000"/>
          <w:spacing w:val="-1"/>
          <w:sz w:val="22"/>
          <w:szCs w:val="22"/>
        </w:rPr>
      </w:pPr>
    </w:p>
    <w:p w:rsidR="00427252" w:rsidRDefault="00427252">
      <w:pPr>
        <w:ind w:left="360" w:hanging="120"/>
        <w:jc w:val="both"/>
        <w:rPr>
          <w:b/>
          <w:bCs/>
          <w:color w:val="000000"/>
          <w:spacing w:val="-1"/>
          <w:sz w:val="22"/>
          <w:szCs w:val="22"/>
        </w:rPr>
      </w:pPr>
    </w:p>
    <w:p w:rsidR="00427252" w:rsidRDefault="00427252">
      <w:pPr>
        <w:ind w:left="360" w:hanging="120"/>
        <w:jc w:val="both"/>
        <w:rPr>
          <w:b/>
          <w:bCs/>
          <w:color w:val="000000"/>
          <w:spacing w:val="-1"/>
          <w:sz w:val="22"/>
          <w:szCs w:val="22"/>
        </w:rPr>
      </w:pPr>
    </w:p>
    <w:p w:rsidR="00427252" w:rsidRDefault="00427252">
      <w:pPr>
        <w:ind w:left="360" w:hanging="120"/>
        <w:jc w:val="both"/>
        <w:rPr>
          <w:b/>
          <w:bCs/>
          <w:color w:val="000000"/>
          <w:spacing w:val="-1"/>
          <w:sz w:val="22"/>
          <w:szCs w:val="22"/>
        </w:rPr>
      </w:pPr>
    </w:p>
    <w:p w:rsidR="00427252" w:rsidRDefault="00427252">
      <w:pPr>
        <w:ind w:left="360" w:hanging="120"/>
        <w:jc w:val="both"/>
        <w:rPr>
          <w:b/>
          <w:bCs/>
          <w:color w:val="000000"/>
          <w:spacing w:val="-1"/>
          <w:sz w:val="22"/>
          <w:szCs w:val="22"/>
        </w:rPr>
      </w:pPr>
    </w:p>
    <w:p w:rsidR="00427252" w:rsidRDefault="00427252">
      <w:pPr>
        <w:ind w:left="360" w:hanging="120"/>
        <w:jc w:val="both"/>
        <w:rPr>
          <w:b/>
          <w:bCs/>
          <w:color w:val="000000"/>
          <w:spacing w:val="-1"/>
          <w:sz w:val="22"/>
          <w:szCs w:val="22"/>
        </w:rPr>
      </w:pPr>
    </w:p>
    <w:p w:rsidR="00427252" w:rsidRDefault="00427252">
      <w:pPr>
        <w:ind w:left="360"/>
        <w:jc w:val="both"/>
        <w:rPr>
          <w:color w:val="000000"/>
          <w:spacing w:val="-1"/>
          <w:sz w:val="22"/>
          <w:szCs w:val="19"/>
        </w:rPr>
      </w:pPr>
      <w:r>
        <w:rPr>
          <w:color w:val="000000"/>
          <w:spacing w:val="-1"/>
          <w:sz w:val="22"/>
          <w:szCs w:val="19"/>
        </w:rPr>
        <w:t>La présence managériale sur le terrain est généralement admise comme une condition indispensable à l’exercice même du management. Ce principe est décliné en un acte concret : la visite terrain. Elle doit permettre à la fois :</w:t>
      </w:r>
    </w:p>
    <w:p w:rsidR="00427252" w:rsidRDefault="00427252">
      <w:pPr>
        <w:ind w:left="600" w:hanging="120"/>
        <w:jc w:val="both"/>
        <w:rPr>
          <w:color w:val="000000"/>
          <w:spacing w:val="-1"/>
          <w:sz w:val="22"/>
          <w:szCs w:val="19"/>
        </w:rPr>
      </w:pPr>
      <w:r>
        <w:rPr>
          <w:color w:val="000000"/>
          <w:spacing w:val="-1"/>
          <w:sz w:val="22"/>
          <w:szCs w:val="19"/>
        </w:rPr>
        <w:t>- de renforcer les bonnes pratiques,</w:t>
      </w:r>
    </w:p>
    <w:p w:rsidR="00427252" w:rsidRDefault="00427252">
      <w:pPr>
        <w:ind w:left="600" w:hanging="120"/>
        <w:jc w:val="both"/>
        <w:rPr>
          <w:color w:val="000000"/>
          <w:spacing w:val="-1"/>
          <w:sz w:val="22"/>
          <w:szCs w:val="19"/>
        </w:rPr>
      </w:pPr>
      <w:r>
        <w:rPr>
          <w:color w:val="000000"/>
          <w:spacing w:val="-1"/>
          <w:sz w:val="22"/>
          <w:szCs w:val="19"/>
        </w:rPr>
        <w:t>- de corriger les écarts et d’améliorer les situations de travail en retirant les “petits cailloux des chaussures”.</w:t>
      </w:r>
    </w:p>
    <w:p w:rsidR="00427252" w:rsidRDefault="00427252">
      <w:pPr>
        <w:ind w:left="360" w:hanging="120"/>
        <w:jc w:val="both"/>
        <w:rPr>
          <w:color w:val="000000"/>
          <w:spacing w:val="-1"/>
          <w:sz w:val="22"/>
          <w:szCs w:val="19"/>
        </w:rPr>
      </w:pPr>
    </w:p>
    <w:p w:rsidR="00427252" w:rsidRDefault="00427252">
      <w:pPr>
        <w:ind w:left="360"/>
        <w:jc w:val="both"/>
        <w:rPr>
          <w:color w:val="000000"/>
          <w:spacing w:val="-1"/>
          <w:sz w:val="22"/>
          <w:szCs w:val="19"/>
        </w:rPr>
      </w:pPr>
      <w:r>
        <w:rPr>
          <w:color w:val="000000"/>
          <w:spacing w:val="-1"/>
          <w:sz w:val="22"/>
          <w:szCs w:val="19"/>
        </w:rPr>
        <w:t>Ces enseignements doivent servir à animer les équipes de travail et les équipes de direction.</w:t>
      </w:r>
    </w:p>
    <w:p w:rsidR="00427252" w:rsidRDefault="00427252">
      <w:pPr>
        <w:ind w:left="360"/>
        <w:jc w:val="both"/>
        <w:rPr>
          <w:color w:val="000000"/>
          <w:spacing w:val="-1"/>
          <w:sz w:val="22"/>
          <w:szCs w:val="19"/>
        </w:rPr>
      </w:pPr>
    </w:p>
    <w:p w:rsidR="00427252" w:rsidRPr="00F02B45" w:rsidRDefault="00427252" w:rsidP="00F02B45">
      <w:pPr>
        <w:ind w:left="360"/>
        <w:jc w:val="both"/>
        <w:rPr>
          <w:color w:val="000000"/>
          <w:spacing w:val="-1"/>
          <w:sz w:val="22"/>
          <w:szCs w:val="19"/>
        </w:rPr>
      </w:pPr>
      <w:r>
        <w:rPr>
          <w:color w:val="000000"/>
          <w:spacing w:val="-1"/>
          <w:sz w:val="22"/>
          <w:szCs w:val="19"/>
        </w:rPr>
        <w:t>Les différentes phases de la visite terrain sont déclinées en règles opérationnelles : la préparation, l’observation, la restitution. Un soin particulier est accordé à la restitution</w:t>
      </w:r>
      <w:r w:rsidR="00F02B45">
        <w:rPr>
          <w:color w:val="000000"/>
          <w:spacing w:val="-1"/>
          <w:sz w:val="22"/>
          <w:szCs w:val="19"/>
        </w:rPr>
        <w:t xml:space="preserve">, </w:t>
      </w:r>
      <w:r>
        <w:rPr>
          <w:color w:val="000000"/>
          <w:spacing w:val="-1"/>
          <w:sz w:val="22"/>
          <w:szCs w:val="19"/>
        </w:rPr>
        <w:t xml:space="preserve">pour laquelle une méthode est enseignée de façon à pouvoir obtenir des évolutions positives sans dégrader la relation avec les observés. </w:t>
      </w:r>
    </w:p>
    <w:p w:rsidR="00427252" w:rsidRDefault="00427252">
      <w:pPr>
        <w:ind w:left="360" w:hanging="120"/>
        <w:jc w:val="both"/>
        <w:rPr>
          <w:b/>
          <w:bCs/>
          <w:color w:val="000000"/>
          <w:spacing w:val="-1"/>
          <w:sz w:val="22"/>
          <w:szCs w:val="22"/>
        </w:rPr>
      </w:pPr>
    </w:p>
    <w:p w:rsidR="00427252" w:rsidRDefault="00427252">
      <w:pPr>
        <w:ind w:left="360" w:hanging="120"/>
        <w:jc w:val="both"/>
        <w:rPr>
          <w:b/>
          <w:bCs/>
          <w:color w:val="000000"/>
          <w:spacing w:val="-1"/>
          <w:sz w:val="22"/>
          <w:szCs w:val="22"/>
        </w:rPr>
      </w:pPr>
    </w:p>
    <w:p w:rsidR="00427252" w:rsidRDefault="00D46129">
      <w:pPr>
        <w:ind w:left="360" w:hanging="120"/>
        <w:jc w:val="both"/>
        <w:rPr>
          <w:b/>
          <w:bCs/>
          <w:color w:val="000000"/>
          <w:spacing w:val="-1"/>
          <w:sz w:val="22"/>
          <w:szCs w:val="22"/>
        </w:rPr>
      </w:pPr>
      <w:r>
        <w:rPr>
          <w:b/>
          <w:bCs/>
          <w:color w:val="000000"/>
          <w:spacing w:val="-1"/>
          <w:sz w:val="22"/>
          <w:szCs w:val="22"/>
        </w:rPr>
        <w:t>2.4 L’Exploitation des Visites T</w:t>
      </w:r>
      <w:r w:rsidR="00427252">
        <w:rPr>
          <w:b/>
          <w:bCs/>
          <w:color w:val="000000"/>
          <w:spacing w:val="-1"/>
          <w:sz w:val="22"/>
          <w:szCs w:val="22"/>
        </w:rPr>
        <w:t>errain</w:t>
      </w:r>
    </w:p>
    <w:p w:rsidR="00427252" w:rsidRDefault="00427252">
      <w:pPr>
        <w:ind w:left="360" w:hanging="120"/>
        <w:jc w:val="both"/>
        <w:rPr>
          <w:b/>
          <w:bCs/>
          <w:color w:val="000000"/>
          <w:spacing w:val="-1"/>
          <w:sz w:val="22"/>
          <w:szCs w:val="22"/>
        </w:rPr>
      </w:pPr>
    </w:p>
    <w:p w:rsidR="00427252" w:rsidRDefault="008B4184">
      <w:pPr>
        <w:ind w:left="360" w:hanging="120"/>
        <w:jc w:val="both"/>
        <w:rPr>
          <w:b/>
          <w:bCs/>
          <w:color w:val="000000"/>
          <w:spacing w:val="-1"/>
          <w:sz w:val="22"/>
          <w:szCs w:val="22"/>
        </w:rPr>
      </w:pPr>
      <w:r>
        <w:rPr>
          <w:noProof/>
          <w:color w:val="000000"/>
          <w:spacing w:val="-1"/>
          <w:sz w:val="20"/>
          <w:szCs w:val="19"/>
        </w:rPr>
        <w:drawing>
          <wp:anchor distT="0" distB="0" distL="114300" distR="114300" simplePos="0" relativeHeight="251648512" behindDoc="0" locked="0" layoutInCell="1" allowOverlap="1">
            <wp:simplePos x="0" y="0"/>
            <wp:positionH relativeFrom="column">
              <wp:posOffset>1371600</wp:posOffset>
            </wp:positionH>
            <wp:positionV relativeFrom="paragraph">
              <wp:posOffset>24765</wp:posOffset>
            </wp:positionV>
            <wp:extent cx="3200400" cy="1689735"/>
            <wp:effectExtent l="1905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200400" cy="1689735"/>
                    </a:xfrm>
                    <a:prstGeom prst="rect">
                      <a:avLst/>
                    </a:prstGeom>
                    <a:noFill/>
                    <a:ln w="9525">
                      <a:noFill/>
                      <a:miter lim="800000"/>
                      <a:headEnd/>
                      <a:tailEnd/>
                    </a:ln>
                    <a:effectLst/>
                  </pic:spPr>
                </pic:pic>
              </a:graphicData>
            </a:graphic>
          </wp:anchor>
        </w:drawing>
      </w:r>
    </w:p>
    <w:p w:rsidR="00427252" w:rsidRDefault="00427252">
      <w:pPr>
        <w:ind w:left="360" w:hanging="120"/>
        <w:jc w:val="both"/>
        <w:rPr>
          <w:b/>
          <w:bCs/>
          <w:color w:val="000000"/>
          <w:spacing w:val="-1"/>
          <w:sz w:val="22"/>
          <w:szCs w:val="22"/>
        </w:rPr>
      </w:pPr>
    </w:p>
    <w:p w:rsidR="00427252" w:rsidRDefault="00427252">
      <w:pPr>
        <w:ind w:left="360" w:hanging="120"/>
        <w:jc w:val="both"/>
        <w:rPr>
          <w:b/>
          <w:bCs/>
          <w:color w:val="000000"/>
          <w:spacing w:val="-1"/>
          <w:sz w:val="22"/>
          <w:szCs w:val="22"/>
        </w:rPr>
      </w:pPr>
    </w:p>
    <w:p w:rsidR="00427252" w:rsidRDefault="00427252">
      <w:pPr>
        <w:ind w:left="360" w:hanging="120"/>
        <w:jc w:val="both"/>
        <w:rPr>
          <w:b/>
          <w:bCs/>
          <w:color w:val="000000"/>
          <w:spacing w:val="-1"/>
          <w:sz w:val="22"/>
          <w:szCs w:val="22"/>
        </w:rPr>
      </w:pPr>
    </w:p>
    <w:p w:rsidR="00427252" w:rsidRDefault="00427252">
      <w:pPr>
        <w:ind w:left="360" w:hanging="120"/>
        <w:jc w:val="both"/>
        <w:rPr>
          <w:b/>
          <w:bCs/>
          <w:color w:val="000000"/>
          <w:spacing w:val="-1"/>
          <w:sz w:val="22"/>
          <w:szCs w:val="22"/>
        </w:rPr>
      </w:pPr>
    </w:p>
    <w:p w:rsidR="00427252" w:rsidRDefault="00427252">
      <w:pPr>
        <w:ind w:left="360" w:hanging="120"/>
        <w:jc w:val="both"/>
        <w:rPr>
          <w:b/>
          <w:bCs/>
          <w:color w:val="000000"/>
          <w:spacing w:val="-1"/>
          <w:sz w:val="22"/>
          <w:szCs w:val="22"/>
        </w:rPr>
      </w:pPr>
    </w:p>
    <w:p w:rsidR="00427252" w:rsidRDefault="00427252">
      <w:pPr>
        <w:ind w:left="360" w:hanging="120"/>
        <w:jc w:val="both"/>
        <w:rPr>
          <w:b/>
          <w:bCs/>
          <w:color w:val="000000"/>
          <w:spacing w:val="-1"/>
          <w:sz w:val="22"/>
          <w:szCs w:val="22"/>
        </w:rPr>
      </w:pPr>
    </w:p>
    <w:p w:rsidR="00427252" w:rsidRDefault="00427252">
      <w:pPr>
        <w:ind w:left="360" w:hanging="120"/>
        <w:jc w:val="both"/>
        <w:rPr>
          <w:b/>
          <w:bCs/>
          <w:color w:val="000000"/>
          <w:spacing w:val="-1"/>
          <w:sz w:val="22"/>
          <w:szCs w:val="22"/>
        </w:rPr>
      </w:pPr>
    </w:p>
    <w:p w:rsidR="00427252" w:rsidRDefault="00427252">
      <w:pPr>
        <w:jc w:val="both"/>
        <w:rPr>
          <w:color w:val="000000"/>
          <w:spacing w:val="-1"/>
          <w:sz w:val="22"/>
          <w:szCs w:val="19"/>
        </w:rPr>
      </w:pPr>
      <w:r>
        <w:rPr>
          <w:color w:val="000000"/>
          <w:spacing w:val="-1"/>
          <w:sz w:val="22"/>
          <w:szCs w:val="19"/>
        </w:rPr>
        <w:lastRenderedPageBreak/>
        <w:t>Les différentes observations font l’objet de constats (positifs ou négatifs) qui doivent être traités</w:t>
      </w:r>
      <w:r w:rsidR="00D46129">
        <w:rPr>
          <w:color w:val="000000"/>
          <w:spacing w:val="-1"/>
          <w:sz w:val="22"/>
          <w:szCs w:val="19"/>
        </w:rPr>
        <w:t xml:space="preserve"> ou capitalisés</w:t>
      </w:r>
      <w:r>
        <w:rPr>
          <w:color w:val="000000"/>
          <w:spacing w:val="-1"/>
          <w:sz w:val="22"/>
          <w:szCs w:val="19"/>
        </w:rPr>
        <w:t>. Les boucles de traitement sont de trois ordres :</w:t>
      </w:r>
    </w:p>
    <w:p w:rsidR="00427252" w:rsidRDefault="00427252">
      <w:pPr>
        <w:numPr>
          <w:ilvl w:val="0"/>
          <w:numId w:val="3"/>
        </w:numPr>
        <w:jc w:val="both"/>
        <w:rPr>
          <w:color w:val="000000"/>
          <w:spacing w:val="-1"/>
          <w:sz w:val="22"/>
          <w:szCs w:val="19"/>
        </w:rPr>
      </w:pPr>
      <w:r>
        <w:rPr>
          <w:color w:val="000000"/>
          <w:spacing w:val="-1"/>
          <w:sz w:val="22"/>
          <w:szCs w:val="19"/>
        </w:rPr>
        <w:t>immédiatement lors de la restitution</w:t>
      </w:r>
    </w:p>
    <w:p w:rsidR="00427252" w:rsidRDefault="00427252">
      <w:pPr>
        <w:numPr>
          <w:ilvl w:val="0"/>
          <w:numId w:val="3"/>
        </w:numPr>
        <w:jc w:val="both"/>
        <w:rPr>
          <w:color w:val="000000"/>
          <w:sz w:val="22"/>
        </w:rPr>
      </w:pPr>
      <w:r>
        <w:rPr>
          <w:color w:val="000000"/>
          <w:spacing w:val="-1"/>
          <w:sz w:val="22"/>
          <w:szCs w:val="19"/>
        </w:rPr>
        <w:t>à moyen terme lorsqu’il s’agit de corriger des dysfonctionnements plus importants (ou de faire connaître de bonnes pratiques)</w:t>
      </w:r>
    </w:p>
    <w:p w:rsidR="00427252" w:rsidRDefault="00427252">
      <w:pPr>
        <w:numPr>
          <w:ilvl w:val="0"/>
          <w:numId w:val="3"/>
        </w:numPr>
        <w:jc w:val="both"/>
        <w:rPr>
          <w:color w:val="000000"/>
          <w:sz w:val="22"/>
        </w:rPr>
      </w:pPr>
      <w:r>
        <w:rPr>
          <w:color w:val="000000"/>
          <w:spacing w:val="-1"/>
          <w:sz w:val="22"/>
          <w:szCs w:val="19"/>
        </w:rPr>
        <w:t xml:space="preserve">à plus long terme, par l’analyse des constats et le repérage des signaux faibles qui permettent de détecter les zones de faiblesses dans nos lignes de défense </w:t>
      </w:r>
    </w:p>
    <w:p w:rsidR="00427252" w:rsidRDefault="00427252">
      <w:pPr>
        <w:ind w:left="360"/>
        <w:jc w:val="both"/>
        <w:rPr>
          <w:color w:val="000000"/>
          <w:spacing w:val="-1"/>
          <w:sz w:val="22"/>
          <w:szCs w:val="19"/>
        </w:rPr>
      </w:pPr>
      <w:r>
        <w:rPr>
          <w:color w:val="000000"/>
          <w:spacing w:val="-1"/>
          <w:sz w:val="22"/>
          <w:szCs w:val="19"/>
        </w:rPr>
        <w:t>Cette activité s’appuie sur une base de donnée</w:t>
      </w:r>
      <w:r w:rsidR="00F02B45">
        <w:rPr>
          <w:color w:val="000000"/>
          <w:spacing w:val="-1"/>
          <w:sz w:val="22"/>
          <w:szCs w:val="19"/>
        </w:rPr>
        <w:t>s</w:t>
      </w:r>
      <w:r>
        <w:rPr>
          <w:color w:val="000000"/>
          <w:spacing w:val="-1"/>
          <w:sz w:val="22"/>
          <w:szCs w:val="19"/>
        </w:rPr>
        <w:t xml:space="preserve"> spécifique  qui permet d’extraire et de synthétiser les résultats observés</w:t>
      </w:r>
      <w:r w:rsidR="00F02B45">
        <w:rPr>
          <w:color w:val="000000"/>
          <w:spacing w:val="-1"/>
          <w:sz w:val="22"/>
          <w:szCs w:val="19"/>
        </w:rPr>
        <w:t>.</w:t>
      </w:r>
    </w:p>
    <w:p w:rsidR="00427252" w:rsidRDefault="00427252">
      <w:pPr>
        <w:jc w:val="both"/>
        <w:rPr>
          <w:color w:val="000000"/>
          <w:spacing w:val="-1"/>
          <w:sz w:val="19"/>
          <w:szCs w:val="19"/>
        </w:rPr>
      </w:pPr>
    </w:p>
    <w:p w:rsidR="00427252" w:rsidRDefault="00427252">
      <w:pPr>
        <w:jc w:val="both"/>
        <w:rPr>
          <w:color w:val="000000"/>
        </w:rPr>
      </w:pPr>
      <w:r>
        <w:rPr>
          <w:b/>
          <w:bCs/>
          <w:color w:val="000000"/>
          <w:spacing w:val="-1"/>
          <w:szCs w:val="27"/>
        </w:rPr>
        <w:t>3) Des résultats visibles</w:t>
      </w:r>
    </w:p>
    <w:p w:rsidR="00427252" w:rsidRDefault="00427252">
      <w:pPr>
        <w:ind w:left="360"/>
        <w:jc w:val="both"/>
        <w:rPr>
          <w:color w:val="000000"/>
          <w:spacing w:val="-1"/>
          <w:sz w:val="22"/>
          <w:szCs w:val="19"/>
        </w:rPr>
      </w:pPr>
    </w:p>
    <w:p w:rsidR="00DE5BD9" w:rsidRDefault="00427252" w:rsidP="00DC3548">
      <w:pPr>
        <w:ind w:left="284"/>
        <w:jc w:val="both"/>
        <w:rPr>
          <w:color w:val="000000"/>
          <w:spacing w:val="-1"/>
          <w:sz w:val="22"/>
          <w:szCs w:val="19"/>
        </w:rPr>
      </w:pPr>
      <w:r>
        <w:rPr>
          <w:color w:val="000000"/>
          <w:spacing w:val="-1"/>
          <w:sz w:val="22"/>
          <w:szCs w:val="19"/>
        </w:rPr>
        <w:t>On observe une diminution marquée du nombre d’arrêts automatiques réacteur (AAR) dès 2008. Ce gain est dû pour les 2/3 à la réduction des causes Facteurs Humains. La même diminution s’observe également dans les Événements Significatifs pour la Sûreté ayant pour origine une erreur de l’acteur</w:t>
      </w:r>
      <w:r w:rsidR="00DE5BD9">
        <w:rPr>
          <w:color w:val="000000"/>
          <w:spacing w:val="-1"/>
          <w:sz w:val="22"/>
          <w:szCs w:val="19"/>
        </w:rPr>
        <w:t xml:space="preserve"> puisqu’il est divisé par trois entre 2007 et 2010</w:t>
      </w:r>
      <w:r>
        <w:rPr>
          <w:color w:val="000000"/>
          <w:spacing w:val="-1"/>
          <w:sz w:val="22"/>
          <w:szCs w:val="19"/>
        </w:rPr>
        <w:t>.</w:t>
      </w:r>
      <w:r w:rsidR="00DE5BD9">
        <w:rPr>
          <w:color w:val="000000"/>
          <w:spacing w:val="-1"/>
          <w:sz w:val="22"/>
          <w:szCs w:val="19"/>
        </w:rPr>
        <w:t xml:space="preserve"> Ces résultats s’améliorent encore en 201</w:t>
      </w:r>
      <w:r w:rsidR="00F262C9">
        <w:rPr>
          <w:color w:val="000000"/>
          <w:spacing w:val="-1"/>
          <w:sz w:val="22"/>
          <w:szCs w:val="19"/>
        </w:rPr>
        <w:t>3</w:t>
      </w:r>
      <w:r w:rsidR="00906C13">
        <w:rPr>
          <w:color w:val="000000"/>
          <w:spacing w:val="-1"/>
          <w:sz w:val="22"/>
          <w:szCs w:val="19"/>
        </w:rPr>
        <w:t xml:space="preserve"> avec aucun AAR d’origine PH.</w:t>
      </w:r>
    </w:p>
    <w:p w:rsidR="00DE5BD9" w:rsidRDefault="00DE5BD9" w:rsidP="00DC3548">
      <w:pPr>
        <w:ind w:left="284"/>
        <w:jc w:val="both"/>
        <w:rPr>
          <w:color w:val="000000"/>
          <w:spacing w:val="-1"/>
          <w:sz w:val="22"/>
          <w:szCs w:val="19"/>
        </w:rPr>
      </w:pPr>
    </w:p>
    <w:p w:rsidR="00427252" w:rsidRDefault="00DE5BD9" w:rsidP="00DC3548">
      <w:pPr>
        <w:ind w:left="284"/>
        <w:jc w:val="both"/>
        <w:rPr>
          <w:color w:val="000000"/>
          <w:sz w:val="22"/>
        </w:rPr>
      </w:pPr>
      <w:r>
        <w:rPr>
          <w:color w:val="000000"/>
          <w:sz w:val="22"/>
        </w:rPr>
        <w:t>D</w:t>
      </w:r>
      <w:r w:rsidR="00427252">
        <w:rPr>
          <w:color w:val="000000"/>
          <w:sz w:val="22"/>
        </w:rPr>
        <w:t>ans le domaine des sciences humaines, il est difficile d’établir une liaison causale et directe en raison du nombre élevé de variables interdépendantes. Néanmoins, cette approche statistique est un indicateur intéressant, d’autant plus qu’on le retrouve à l’identique dans les expériences étrangères.</w:t>
      </w:r>
    </w:p>
    <w:p w:rsidR="00427252" w:rsidRDefault="00427252" w:rsidP="00DC3548">
      <w:pPr>
        <w:ind w:left="284"/>
        <w:jc w:val="both"/>
        <w:rPr>
          <w:color w:val="000000"/>
          <w:sz w:val="22"/>
        </w:rPr>
      </w:pPr>
    </w:p>
    <w:p w:rsidR="00427252" w:rsidRDefault="007D0D4E" w:rsidP="00DC3548">
      <w:pPr>
        <w:ind w:left="284"/>
        <w:jc w:val="both"/>
        <w:rPr>
          <w:color w:val="000000"/>
          <w:spacing w:val="-1"/>
          <w:sz w:val="22"/>
          <w:szCs w:val="19"/>
        </w:rPr>
      </w:pPr>
      <w:r>
        <w:rPr>
          <w:color w:val="000000"/>
          <w:sz w:val="22"/>
        </w:rPr>
        <w:t>Avec plus de</w:t>
      </w:r>
      <w:r w:rsidR="00427252">
        <w:rPr>
          <w:color w:val="000000"/>
          <w:sz w:val="22"/>
        </w:rPr>
        <w:t xml:space="preserve"> </w:t>
      </w:r>
      <w:r w:rsidR="00D46129">
        <w:rPr>
          <w:b/>
          <w:bCs/>
          <w:color w:val="000000"/>
          <w:sz w:val="22"/>
        </w:rPr>
        <w:t>5</w:t>
      </w:r>
      <w:r w:rsidR="00427252">
        <w:rPr>
          <w:b/>
          <w:bCs/>
          <w:color w:val="000000"/>
          <w:sz w:val="22"/>
        </w:rPr>
        <w:t>0 000 visites terrain</w:t>
      </w:r>
      <w:r w:rsidR="00427252">
        <w:rPr>
          <w:color w:val="000000"/>
          <w:sz w:val="22"/>
        </w:rPr>
        <w:t xml:space="preserve"> formalisées par an, </w:t>
      </w:r>
      <w:r>
        <w:rPr>
          <w:color w:val="000000"/>
          <w:sz w:val="22"/>
        </w:rPr>
        <w:t>la DPN dispose d’</w:t>
      </w:r>
      <w:r w:rsidR="00427252">
        <w:rPr>
          <w:color w:val="000000"/>
          <w:sz w:val="22"/>
        </w:rPr>
        <w:t xml:space="preserve"> une base </w:t>
      </w:r>
      <w:r>
        <w:rPr>
          <w:color w:val="000000"/>
          <w:sz w:val="22"/>
        </w:rPr>
        <w:t xml:space="preserve">représentative </w:t>
      </w:r>
      <w:r w:rsidR="00427252">
        <w:rPr>
          <w:color w:val="000000"/>
          <w:sz w:val="22"/>
        </w:rPr>
        <w:t xml:space="preserve">pour </w:t>
      </w:r>
      <w:r w:rsidR="006E343C">
        <w:rPr>
          <w:color w:val="000000"/>
          <w:sz w:val="22"/>
        </w:rPr>
        <w:t>des</w:t>
      </w:r>
      <w:r w:rsidR="00427252">
        <w:rPr>
          <w:color w:val="000000"/>
          <w:sz w:val="22"/>
        </w:rPr>
        <w:t xml:space="preserve"> analyses “sig</w:t>
      </w:r>
      <w:r w:rsidR="00D46129">
        <w:rPr>
          <w:color w:val="000000"/>
          <w:sz w:val="22"/>
        </w:rPr>
        <w:t>naux faibles” sur les unités (</w:t>
      </w:r>
      <w:r>
        <w:rPr>
          <w:color w:val="000000"/>
          <w:sz w:val="22"/>
        </w:rPr>
        <w:t xml:space="preserve">environ </w:t>
      </w:r>
      <w:r w:rsidR="00D46129">
        <w:rPr>
          <w:color w:val="000000"/>
          <w:sz w:val="22"/>
        </w:rPr>
        <w:t>10</w:t>
      </w:r>
      <w:r w:rsidR="00427252">
        <w:rPr>
          <w:color w:val="000000"/>
          <w:sz w:val="22"/>
        </w:rPr>
        <w:t>0</w:t>
      </w:r>
      <w:r w:rsidR="00D46129">
        <w:rPr>
          <w:color w:val="000000"/>
          <w:sz w:val="22"/>
        </w:rPr>
        <w:t> </w:t>
      </w:r>
      <w:r w:rsidR="00427252">
        <w:rPr>
          <w:color w:val="000000"/>
          <w:sz w:val="22"/>
        </w:rPr>
        <w:t>000 constats</w:t>
      </w:r>
      <w:r w:rsidR="00D46129">
        <w:rPr>
          <w:color w:val="000000"/>
          <w:sz w:val="22"/>
        </w:rPr>
        <w:t xml:space="preserve"> par an</w:t>
      </w:r>
      <w:r w:rsidR="00427252">
        <w:rPr>
          <w:color w:val="000000"/>
          <w:sz w:val="22"/>
        </w:rPr>
        <w:t xml:space="preserve"> tracés</w:t>
      </w:r>
      <w:r w:rsidR="004072DB">
        <w:rPr>
          <w:color w:val="000000"/>
          <w:sz w:val="22"/>
        </w:rPr>
        <w:t>). La partie “Exploitation des Visites T</w:t>
      </w:r>
      <w:r w:rsidR="00427252">
        <w:rPr>
          <w:color w:val="000000"/>
          <w:sz w:val="22"/>
        </w:rPr>
        <w:t xml:space="preserve">errain” est </w:t>
      </w:r>
      <w:r w:rsidR="006E343C">
        <w:rPr>
          <w:color w:val="000000"/>
          <w:sz w:val="22"/>
        </w:rPr>
        <w:t xml:space="preserve">progressivement intégrée au projet REX-PAC </w:t>
      </w:r>
      <w:r w:rsidR="00427252">
        <w:rPr>
          <w:color w:val="000000"/>
          <w:sz w:val="22"/>
        </w:rPr>
        <w:t>en cours de déploie</w:t>
      </w:r>
      <w:r w:rsidR="00427252">
        <w:rPr>
          <w:color w:val="000000"/>
          <w:spacing w:val="-1"/>
          <w:sz w:val="22"/>
          <w:szCs w:val="19"/>
        </w:rPr>
        <w:t xml:space="preserve">ment sur l’ensemble du parc nucléaire EDF. </w:t>
      </w:r>
    </w:p>
    <w:p w:rsidR="00427252" w:rsidRDefault="00427252">
      <w:pPr>
        <w:ind w:left="360"/>
        <w:jc w:val="both"/>
        <w:rPr>
          <w:b/>
          <w:bCs/>
          <w:color w:val="000000"/>
          <w:spacing w:val="-1"/>
          <w:szCs w:val="27"/>
        </w:rPr>
      </w:pPr>
    </w:p>
    <w:p w:rsidR="00427252" w:rsidRDefault="00427252">
      <w:pPr>
        <w:ind w:left="360"/>
        <w:jc w:val="both"/>
        <w:rPr>
          <w:b/>
          <w:bCs/>
          <w:color w:val="000000"/>
          <w:spacing w:val="-1"/>
          <w:szCs w:val="27"/>
        </w:rPr>
      </w:pPr>
    </w:p>
    <w:p w:rsidR="00427252" w:rsidRDefault="00427252" w:rsidP="00DC3548">
      <w:pPr>
        <w:jc w:val="both"/>
        <w:rPr>
          <w:b/>
          <w:bCs/>
          <w:color w:val="000000"/>
          <w:spacing w:val="-1"/>
          <w:szCs w:val="27"/>
        </w:rPr>
      </w:pPr>
      <w:r>
        <w:rPr>
          <w:b/>
          <w:bCs/>
          <w:color w:val="000000"/>
          <w:spacing w:val="-1"/>
          <w:szCs w:val="27"/>
        </w:rPr>
        <w:t>4) Les difficultés pour déployer une telle démarche :</w:t>
      </w:r>
    </w:p>
    <w:p w:rsidR="00427252" w:rsidRDefault="00427252">
      <w:pPr>
        <w:ind w:left="360"/>
        <w:jc w:val="both"/>
        <w:rPr>
          <w:b/>
          <w:bCs/>
          <w:color w:val="000000"/>
          <w:spacing w:val="-1"/>
          <w:szCs w:val="27"/>
        </w:rPr>
      </w:pPr>
    </w:p>
    <w:p w:rsidR="00427252" w:rsidRDefault="00427252">
      <w:pPr>
        <w:ind w:left="360"/>
        <w:jc w:val="both"/>
        <w:rPr>
          <w:color w:val="000000"/>
          <w:sz w:val="22"/>
        </w:rPr>
      </w:pPr>
      <w:r>
        <w:rPr>
          <w:color w:val="000000"/>
          <w:sz w:val="22"/>
        </w:rPr>
        <w:t xml:space="preserve">La culture française fait plus facilement appel aux compétences de l’acteur et à son intelligence de la situation qu’à la mise en place de pratiques réflexes standardisées. Il faut donc beaucoup de temps et d’énergie pour persuader l’intervenant qu’il ne suffit pas de savoir et de vouloir pour changer ses comportements et ses habitudes. </w:t>
      </w:r>
    </w:p>
    <w:p w:rsidR="00427252" w:rsidRDefault="00427252">
      <w:pPr>
        <w:ind w:left="360"/>
        <w:jc w:val="both"/>
        <w:rPr>
          <w:color w:val="000000"/>
          <w:sz w:val="22"/>
        </w:rPr>
      </w:pPr>
    </w:p>
    <w:p w:rsidR="00427252" w:rsidRDefault="00427252">
      <w:pPr>
        <w:ind w:left="360"/>
        <w:jc w:val="both"/>
        <w:rPr>
          <w:color w:val="000000"/>
          <w:sz w:val="22"/>
        </w:rPr>
      </w:pPr>
      <w:r>
        <w:rPr>
          <w:color w:val="000000"/>
          <w:sz w:val="22"/>
        </w:rPr>
        <w:t>Il faut aussi apprendre à contrôler et sécuriser ses mécanismes d’action plus ou moins automatisés. Ce changement est avant tout collectif</w:t>
      </w:r>
      <w:r w:rsidR="00DC3548">
        <w:rPr>
          <w:color w:val="000000"/>
          <w:sz w:val="22"/>
        </w:rPr>
        <w:t>. I</w:t>
      </w:r>
      <w:r>
        <w:rPr>
          <w:color w:val="000000"/>
          <w:sz w:val="22"/>
        </w:rPr>
        <w:t>l sup</w:t>
      </w:r>
      <w:r w:rsidR="006E343C">
        <w:rPr>
          <w:color w:val="000000"/>
          <w:sz w:val="22"/>
        </w:rPr>
        <w:t>pose une impulsion managériale</w:t>
      </w:r>
      <w:r w:rsidR="00DC3548">
        <w:rPr>
          <w:color w:val="000000"/>
          <w:sz w:val="22"/>
        </w:rPr>
        <w:t xml:space="preserve">  permanente </w:t>
      </w:r>
      <w:r>
        <w:rPr>
          <w:color w:val="000000"/>
          <w:sz w:val="22"/>
        </w:rPr>
        <w:t xml:space="preserve">qui </w:t>
      </w:r>
      <w:r w:rsidR="00DC3548">
        <w:rPr>
          <w:color w:val="000000"/>
          <w:sz w:val="22"/>
        </w:rPr>
        <w:t>constitue</w:t>
      </w:r>
      <w:r>
        <w:rPr>
          <w:color w:val="000000"/>
          <w:sz w:val="22"/>
        </w:rPr>
        <w:t xml:space="preserve"> </w:t>
      </w:r>
      <w:r w:rsidR="00DC3548">
        <w:rPr>
          <w:color w:val="000000"/>
          <w:sz w:val="22"/>
        </w:rPr>
        <w:t>un juste</w:t>
      </w:r>
      <w:r>
        <w:rPr>
          <w:color w:val="000000"/>
          <w:sz w:val="22"/>
        </w:rPr>
        <w:t xml:space="preserve"> équilibre</w:t>
      </w:r>
      <w:r w:rsidR="00DC3548">
        <w:rPr>
          <w:color w:val="000000"/>
          <w:sz w:val="22"/>
        </w:rPr>
        <w:t xml:space="preserve"> entre le</w:t>
      </w:r>
      <w:r>
        <w:rPr>
          <w:color w:val="000000"/>
          <w:sz w:val="22"/>
        </w:rPr>
        <w:t xml:space="preserve"> rappel à la règle et </w:t>
      </w:r>
      <w:r w:rsidR="00DC3548">
        <w:rPr>
          <w:color w:val="000000"/>
          <w:sz w:val="22"/>
        </w:rPr>
        <w:t>le</w:t>
      </w:r>
      <w:r w:rsidR="004072DB">
        <w:rPr>
          <w:color w:val="000000"/>
          <w:sz w:val="22"/>
        </w:rPr>
        <w:t xml:space="preserve"> portage du sens pour les </w:t>
      </w:r>
      <w:r w:rsidR="00DC3548">
        <w:rPr>
          <w:color w:val="000000"/>
          <w:sz w:val="22"/>
        </w:rPr>
        <w:t>intervenants</w:t>
      </w:r>
      <w:r w:rsidR="004072DB">
        <w:rPr>
          <w:color w:val="000000"/>
          <w:sz w:val="22"/>
        </w:rPr>
        <w:t>.</w:t>
      </w:r>
    </w:p>
    <w:p w:rsidR="00427252" w:rsidRDefault="00427252">
      <w:pPr>
        <w:ind w:left="360"/>
        <w:jc w:val="both"/>
        <w:rPr>
          <w:b/>
          <w:bCs/>
          <w:color w:val="000000"/>
          <w:spacing w:val="-1"/>
          <w:szCs w:val="27"/>
        </w:rPr>
      </w:pPr>
    </w:p>
    <w:p w:rsidR="00427252" w:rsidRDefault="00427252">
      <w:pPr>
        <w:ind w:left="360"/>
        <w:jc w:val="both"/>
        <w:rPr>
          <w:b/>
          <w:bCs/>
          <w:color w:val="000000"/>
          <w:spacing w:val="-1"/>
          <w:szCs w:val="27"/>
        </w:rPr>
      </w:pPr>
      <w:r>
        <w:rPr>
          <w:b/>
          <w:bCs/>
          <w:color w:val="000000"/>
          <w:spacing w:val="-1"/>
          <w:szCs w:val="27"/>
        </w:rPr>
        <w:t>5) Quelques chiffres :</w:t>
      </w:r>
    </w:p>
    <w:p w:rsidR="00427252" w:rsidRDefault="00427252">
      <w:pPr>
        <w:ind w:left="360"/>
        <w:jc w:val="both"/>
        <w:rPr>
          <w:b/>
          <w:bCs/>
          <w:color w:val="000000"/>
          <w:spacing w:val="-1"/>
          <w:szCs w:val="27"/>
        </w:rPr>
      </w:pPr>
    </w:p>
    <w:p w:rsidR="00427252" w:rsidRPr="007D0D4E" w:rsidRDefault="00906C13" w:rsidP="00237F73">
      <w:pPr>
        <w:ind w:left="360"/>
        <w:jc w:val="both"/>
        <w:rPr>
          <w:bCs/>
          <w:color w:val="000000"/>
          <w:spacing w:val="-1"/>
          <w:szCs w:val="27"/>
        </w:rPr>
      </w:pPr>
      <w:r w:rsidRPr="007D0D4E">
        <w:rPr>
          <w:bCs/>
          <w:color w:val="000000"/>
          <w:spacing w:val="-1"/>
          <w:szCs w:val="27"/>
        </w:rPr>
        <w:t>T</w:t>
      </w:r>
      <w:r w:rsidR="007D0D4E" w:rsidRPr="007D0D4E">
        <w:rPr>
          <w:bCs/>
          <w:color w:val="000000"/>
          <w:spacing w:val="-1"/>
          <w:szCs w:val="27"/>
        </w:rPr>
        <w:t>ous les agents des sites nucléaires sont</w:t>
      </w:r>
      <w:r w:rsidR="00F262C9" w:rsidRPr="007D0D4E">
        <w:rPr>
          <w:bCs/>
          <w:color w:val="000000"/>
          <w:spacing w:val="-1"/>
          <w:szCs w:val="27"/>
        </w:rPr>
        <w:t xml:space="preserve"> </w:t>
      </w:r>
      <w:r w:rsidR="006E343C" w:rsidRPr="007D0D4E">
        <w:rPr>
          <w:bCs/>
          <w:color w:val="000000"/>
          <w:spacing w:val="-1"/>
          <w:szCs w:val="27"/>
        </w:rPr>
        <w:t>formés aux pratiques de fiabilisation</w:t>
      </w:r>
      <w:r w:rsidR="007D0D4E">
        <w:rPr>
          <w:bCs/>
          <w:color w:val="000000"/>
          <w:spacing w:val="-1"/>
          <w:szCs w:val="27"/>
        </w:rPr>
        <w:t xml:space="preserve"> sur chantier école. Les agents des métiers proches du process (Conduite, Autos, Essais, Chimie, Maintenance) bénéficient de recyclages PFI en équipe constituée avec leur manager et l’appui d’un référent PFI.</w:t>
      </w:r>
    </w:p>
    <w:p w:rsidR="006E343C" w:rsidRPr="007D0D4E" w:rsidRDefault="006E343C">
      <w:pPr>
        <w:ind w:left="360"/>
        <w:jc w:val="both"/>
        <w:rPr>
          <w:bCs/>
          <w:color w:val="000000"/>
          <w:spacing w:val="-1"/>
          <w:szCs w:val="27"/>
        </w:rPr>
      </w:pPr>
    </w:p>
    <w:p w:rsidR="00906C13" w:rsidRPr="007D0D4E" w:rsidRDefault="00906C13">
      <w:pPr>
        <w:ind w:left="360"/>
        <w:jc w:val="both"/>
        <w:rPr>
          <w:bCs/>
          <w:color w:val="000000"/>
          <w:spacing w:val="-1"/>
          <w:szCs w:val="27"/>
        </w:rPr>
      </w:pPr>
      <w:r w:rsidRPr="007D0D4E">
        <w:rPr>
          <w:bCs/>
          <w:color w:val="000000"/>
          <w:spacing w:val="-1"/>
          <w:szCs w:val="27"/>
        </w:rPr>
        <w:t xml:space="preserve">Tous les sites nucléaires disposent de référents PFI </w:t>
      </w:r>
      <w:r w:rsidR="007D0D4E">
        <w:rPr>
          <w:bCs/>
          <w:color w:val="000000"/>
          <w:spacing w:val="-1"/>
          <w:szCs w:val="27"/>
        </w:rPr>
        <w:t>formés au stage de 2 jours MG02</w:t>
      </w:r>
    </w:p>
    <w:p w:rsidR="006E343C" w:rsidRPr="007D0D4E" w:rsidRDefault="006E343C">
      <w:pPr>
        <w:ind w:left="360"/>
        <w:jc w:val="both"/>
        <w:rPr>
          <w:bCs/>
          <w:color w:val="000000"/>
          <w:spacing w:val="-1"/>
          <w:szCs w:val="27"/>
        </w:rPr>
      </w:pPr>
    </w:p>
    <w:p w:rsidR="00906C13" w:rsidRPr="007D0D4E" w:rsidRDefault="00906C13">
      <w:pPr>
        <w:ind w:left="360"/>
        <w:jc w:val="both"/>
        <w:rPr>
          <w:bCs/>
          <w:color w:val="000000"/>
          <w:spacing w:val="-1"/>
          <w:szCs w:val="27"/>
        </w:rPr>
      </w:pPr>
      <w:r w:rsidRPr="007D0D4E">
        <w:rPr>
          <w:bCs/>
          <w:color w:val="000000"/>
          <w:spacing w:val="-1"/>
          <w:szCs w:val="27"/>
        </w:rPr>
        <w:t xml:space="preserve">Les formations des prestataires aux PFI </w:t>
      </w:r>
      <w:r w:rsidR="00DC3548">
        <w:rPr>
          <w:bCs/>
          <w:color w:val="000000"/>
          <w:spacing w:val="-1"/>
          <w:szCs w:val="27"/>
        </w:rPr>
        <w:t>sont dispensées</w:t>
      </w:r>
      <w:r w:rsidRPr="007D0D4E">
        <w:rPr>
          <w:bCs/>
          <w:color w:val="000000"/>
          <w:spacing w:val="-1"/>
          <w:szCs w:val="27"/>
        </w:rPr>
        <w:t xml:space="preserve"> au sein des formations QSP et des recyclages. Des formations visites managériales de terrain se réalisent au cours des formations </w:t>
      </w:r>
      <w:r w:rsidRPr="007D0D4E">
        <w:rPr>
          <w:bCs/>
          <w:color w:val="000000"/>
          <w:spacing w:val="-1"/>
          <w:szCs w:val="27"/>
        </w:rPr>
        <w:lastRenderedPageBreak/>
        <w:t xml:space="preserve">AK encadrants prestataires. Tous les permanents locaux des associations prestataires sont référents PFI et intégrés au réseau Référents PFI des sites nucléaires. Un membre de l’équipe PH nationale est invité permanent du réseau inter-associations et travaille en </w:t>
      </w:r>
      <w:r w:rsidR="007D0D4E">
        <w:rPr>
          <w:bCs/>
          <w:color w:val="000000"/>
          <w:spacing w:val="-1"/>
          <w:szCs w:val="27"/>
        </w:rPr>
        <w:t>collaboration</w:t>
      </w:r>
      <w:r w:rsidRPr="007D0D4E">
        <w:rPr>
          <w:bCs/>
          <w:color w:val="000000"/>
          <w:spacing w:val="-1"/>
          <w:szCs w:val="27"/>
        </w:rPr>
        <w:t xml:space="preserve"> avec l’Education Nationale et le GRETA à la prise</w:t>
      </w:r>
      <w:r w:rsidR="007D0D4E">
        <w:rPr>
          <w:bCs/>
          <w:color w:val="000000"/>
          <w:spacing w:val="-1"/>
          <w:szCs w:val="27"/>
        </w:rPr>
        <w:t xml:space="preserve"> </w:t>
      </w:r>
      <w:r w:rsidRPr="007D0D4E">
        <w:rPr>
          <w:bCs/>
          <w:color w:val="000000"/>
          <w:spacing w:val="-1"/>
          <w:szCs w:val="27"/>
        </w:rPr>
        <w:t>en compte des PFI dans la formation des apprentis (du CAP au Bac Professionnel)</w:t>
      </w:r>
    </w:p>
    <w:p w:rsidR="00906C13" w:rsidRPr="007D0D4E" w:rsidRDefault="00906C13">
      <w:pPr>
        <w:ind w:left="360"/>
        <w:jc w:val="both"/>
        <w:rPr>
          <w:bCs/>
          <w:color w:val="000000"/>
          <w:spacing w:val="-1"/>
          <w:szCs w:val="27"/>
        </w:rPr>
      </w:pPr>
    </w:p>
    <w:p w:rsidR="006E343C" w:rsidRPr="007D0D4E" w:rsidRDefault="00906C13">
      <w:pPr>
        <w:ind w:left="360"/>
        <w:jc w:val="both"/>
        <w:rPr>
          <w:bCs/>
          <w:color w:val="000000"/>
          <w:spacing w:val="-1"/>
          <w:szCs w:val="27"/>
        </w:rPr>
      </w:pPr>
      <w:r w:rsidRPr="007D0D4E">
        <w:rPr>
          <w:bCs/>
          <w:color w:val="000000"/>
          <w:spacing w:val="-1"/>
          <w:szCs w:val="27"/>
        </w:rPr>
        <w:t>Tous les</w:t>
      </w:r>
      <w:r w:rsidR="006E343C" w:rsidRPr="007D0D4E">
        <w:rPr>
          <w:bCs/>
          <w:color w:val="000000"/>
          <w:spacing w:val="-1"/>
          <w:szCs w:val="27"/>
        </w:rPr>
        <w:t xml:space="preserve"> managers </w:t>
      </w:r>
      <w:r w:rsidR="007D0D4E">
        <w:rPr>
          <w:bCs/>
          <w:color w:val="000000"/>
          <w:spacing w:val="-1"/>
          <w:szCs w:val="27"/>
        </w:rPr>
        <w:t xml:space="preserve">des sites nucléaires </w:t>
      </w:r>
      <w:r w:rsidRPr="007D0D4E">
        <w:rPr>
          <w:bCs/>
          <w:color w:val="000000"/>
          <w:spacing w:val="-1"/>
          <w:szCs w:val="27"/>
        </w:rPr>
        <w:t xml:space="preserve">sont </w:t>
      </w:r>
      <w:r w:rsidR="006E343C" w:rsidRPr="007D0D4E">
        <w:rPr>
          <w:bCs/>
          <w:color w:val="000000"/>
          <w:spacing w:val="-1"/>
          <w:szCs w:val="27"/>
        </w:rPr>
        <w:t>formés à la Visite Terrain</w:t>
      </w:r>
      <w:r w:rsidR="004072DB" w:rsidRPr="007D0D4E">
        <w:rPr>
          <w:bCs/>
          <w:color w:val="000000"/>
          <w:spacing w:val="-1"/>
          <w:szCs w:val="27"/>
        </w:rPr>
        <w:t xml:space="preserve"> </w:t>
      </w:r>
    </w:p>
    <w:p w:rsidR="00C74E79" w:rsidRDefault="00C74E79">
      <w:pPr>
        <w:ind w:left="360"/>
        <w:jc w:val="both"/>
        <w:rPr>
          <w:b/>
          <w:bCs/>
          <w:color w:val="000000"/>
          <w:spacing w:val="-1"/>
          <w:szCs w:val="27"/>
        </w:rPr>
      </w:pPr>
    </w:p>
    <w:tbl>
      <w:tblPr>
        <w:tblW w:w="8903" w:type="dxa"/>
        <w:jc w:val="center"/>
        <w:tblInd w:w="-2344" w:type="dxa"/>
        <w:tblLayout w:type="fixed"/>
        <w:tblCellMar>
          <w:left w:w="0" w:type="dxa"/>
          <w:right w:w="0" w:type="dxa"/>
        </w:tblCellMar>
        <w:tblLook w:val="0000"/>
      </w:tblPr>
      <w:tblGrid>
        <w:gridCol w:w="7670"/>
        <w:gridCol w:w="1233"/>
      </w:tblGrid>
      <w:tr w:rsidR="00427252">
        <w:trPr>
          <w:cantSplit/>
          <w:jc w:val="center"/>
        </w:trPr>
        <w:tc>
          <w:tcPr>
            <w:tcW w:w="7670" w:type="dxa"/>
            <w:tcBorders>
              <w:top w:val="nil"/>
              <w:left w:val="nil"/>
              <w:bottom w:val="nil"/>
              <w:right w:val="nil"/>
            </w:tcBorders>
            <w:noWrap/>
            <w:tcMar>
              <w:top w:w="15" w:type="dxa"/>
              <w:left w:w="15" w:type="dxa"/>
              <w:bottom w:w="0" w:type="dxa"/>
              <w:right w:w="15" w:type="dxa"/>
            </w:tcMar>
            <w:vAlign w:val="bottom"/>
          </w:tcPr>
          <w:p w:rsidR="00427252" w:rsidRDefault="00427252">
            <w:pPr>
              <w:rPr>
                <w:rFonts w:eastAsia="Arial Unicode MS" w:cs="Arial"/>
              </w:rPr>
            </w:pPr>
          </w:p>
        </w:tc>
        <w:tc>
          <w:tcPr>
            <w:tcW w:w="1233" w:type="dxa"/>
            <w:tcBorders>
              <w:top w:val="nil"/>
              <w:left w:val="nil"/>
              <w:bottom w:val="nil"/>
              <w:right w:val="nil"/>
            </w:tcBorders>
            <w:noWrap/>
            <w:tcMar>
              <w:top w:w="15" w:type="dxa"/>
              <w:left w:w="15" w:type="dxa"/>
              <w:bottom w:w="0" w:type="dxa"/>
              <w:right w:w="15" w:type="dxa"/>
            </w:tcMar>
            <w:vAlign w:val="bottom"/>
          </w:tcPr>
          <w:p w:rsidR="00427252" w:rsidRDefault="00427252">
            <w:pPr>
              <w:jc w:val="center"/>
              <w:rPr>
                <w:rFonts w:eastAsia="Arial Unicode MS" w:cs="Arial"/>
              </w:rPr>
            </w:pPr>
          </w:p>
        </w:tc>
      </w:tr>
    </w:tbl>
    <w:p w:rsidR="00427252" w:rsidRPr="00237F73" w:rsidRDefault="00427252" w:rsidP="00237F73">
      <w:pPr>
        <w:ind w:left="360"/>
        <w:jc w:val="both"/>
        <w:rPr>
          <w:color w:val="000000"/>
          <w:spacing w:val="-1"/>
        </w:rPr>
      </w:pPr>
      <w:r w:rsidRPr="00237F73">
        <w:rPr>
          <w:b/>
          <w:color w:val="000000"/>
          <w:spacing w:val="-1"/>
        </w:rPr>
        <w:t>19 chantiers école</w:t>
      </w:r>
      <w:r w:rsidRPr="00237F73">
        <w:rPr>
          <w:color w:val="000000"/>
          <w:spacing w:val="-1"/>
        </w:rPr>
        <w:t xml:space="preserve"> ont été construit</w:t>
      </w:r>
      <w:r w:rsidR="00C74E79">
        <w:rPr>
          <w:color w:val="000000"/>
          <w:spacing w:val="-1"/>
        </w:rPr>
        <w:t>s</w:t>
      </w:r>
      <w:r w:rsidRPr="00237F73">
        <w:rPr>
          <w:color w:val="000000"/>
          <w:spacing w:val="-1"/>
        </w:rPr>
        <w:t xml:space="preserve"> (1 par site) pour entraîner les intervenants et managers à la mise en œuvre des pratiques de fiabilisation.</w:t>
      </w:r>
    </w:p>
    <w:p w:rsidR="00427252" w:rsidRPr="00237F73" w:rsidRDefault="00427252">
      <w:pPr>
        <w:ind w:left="360"/>
        <w:jc w:val="both"/>
        <w:rPr>
          <w:color w:val="000000"/>
          <w:spacing w:val="-1"/>
        </w:rPr>
      </w:pPr>
    </w:p>
    <w:p w:rsidR="00427252" w:rsidRPr="00237F73" w:rsidRDefault="00427252">
      <w:pPr>
        <w:ind w:left="360"/>
        <w:jc w:val="both"/>
        <w:rPr>
          <w:b/>
          <w:color w:val="000000"/>
          <w:spacing w:val="-1"/>
        </w:rPr>
      </w:pPr>
    </w:p>
    <w:p w:rsidR="00427252" w:rsidRDefault="00427252" w:rsidP="00237F73">
      <w:pPr>
        <w:ind w:left="360"/>
        <w:jc w:val="both"/>
        <w:rPr>
          <w:color w:val="000000"/>
          <w:spacing w:val="-1"/>
        </w:rPr>
      </w:pPr>
      <w:r w:rsidRPr="00237F73">
        <w:rPr>
          <w:b/>
          <w:color w:val="000000"/>
          <w:spacing w:val="-1"/>
        </w:rPr>
        <w:t>2 carnets</w:t>
      </w:r>
      <w:r w:rsidRPr="00237F73">
        <w:rPr>
          <w:color w:val="000000"/>
          <w:spacing w:val="-1"/>
        </w:rPr>
        <w:t xml:space="preserve"> rappelant les attendus et exigences ont été distribués après formation à chacun (EDF et prestataires</w:t>
      </w:r>
      <w:r w:rsidR="00C74E79">
        <w:rPr>
          <w:color w:val="000000"/>
          <w:spacing w:val="-1"/>
        </w:rPr>
        <w:t>)</w:t>
      </w:r>
      <w:r w:rsidRPr="00237F73">
        <w:rPr>
          <w:color w:val="000000"/>
          <w:spacing w:val="-1"/>
        </w:rPr>
        <w:t>.</w:t>
      </w:r>
    </w:p>
    <w:p w:rsidR="00237F73" w:rsidRPr="00237F73" w:rsidRDefault="00237F73" w:rsidP="00237F73">
      <w:pPr>
        <w:ind w:left="360"/>
        <w:jc w:val="both"/>
        <w:rPr>
          <w:color w:val="000000"/>
          <w:spacing w:val="-1"/>
        </w:rPr>
      </w:pPr>
    </w:p>
    <w:p w:rsidR="00427252" w:rsidRDefault="008B4184">
      <w:pPr>
        <w:ind w:left="360"/>
        <w:jc w:val="both"/>
        <w:rPr>
          <w:color w:val="000000"/>
          <w:sz w:val="22"/>
        </w:rPr>
      </w:pPr>
      <w:r>
        <w:rPr>
          <w:noProof/>
          <w:color w:val="000000"/>
          <w:sz w:val="22"/>
        </w:rPr>
        <w:drawing>
          <wp:anchor distT="0" distB="0" distL="114300" distR="114300" simplePos="0" relativeHeight="251661824" behindDoc="0" locked="0" layoutInCell="1" allowOverlap="1">
            <wp:simplePos x="0" y="0"/>
            <wp:positionH relativeFrom="column">
              <wp:posOffset>3657600</wp:posOffset>
            </wp:positionH>
            <wp:positionV relativeFrom="paragraph">
              <wp:posOffset>285115</wp:posOffset>
            </wp:positionV>
            <wp:extent cx="1902460" cy="2943225"/>
            <wp:effectExtent l="38100" t="19050" r="21590" b="28575"/>
            <wp:wrapTopAndBottom/>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srcRect/>
                    <a:stretch>
                      <a:fillRect/>
                    </a:stretch>
                  </pic:blipFill>
                  <pic:spPr bwMode="auto">
                    <a:xfrm>
                      <a:off x="0" y="0"/>
                      <a:ext cx="1902460" cy="2943225"/>
                    </a:xfrm>
                    <a:prstGeom prst="rect">
                      <a:avLst/>
                    </a:prstGeom>
                    <a:noFill/>
                    <a:ln w="9525">
                      <a:solidFill>
                        <a:srgbClr val="000000"/>
                      </a:solidFill>
                      <a:miter lim="800000"/>
                      <a:headEnd/>
                      <a:tailEnd/>
                    </a:ln>
                  </pic:spPr>
                </pic:pic>
              </a:graphicData>
            </a:graphic>
          </wp:anchor>
        </w:drawing>
      </w:r>
      <w:r>
        <w:rPr>
          <w:noProof/>
          <w:color w:val="000000"/>
          <w:sz w:val="22"/>
        </w:rPr>
        <w:drawing>
          <wp:anchor distT="0" distB="0" distL="114300" distR="114300" simplePos="0" relativeHeight="251660800" behindDoc="0" locked="0" layoutInCell="1" allowOverlap="1">
            <wp:simplePos x="0" y="0"/>
            <wp:positionH relativeFrom="column">
              <wp:posOffset>533400</wp:posOffset>
            </wp:positionH>
            <wp:positionV relativeFrom="paragraph">
              <wp:posOffset>285115</wp:posOffset>
            </wp:positionV>
            <wp:extent cx="1881505" cy="2893695"/>
            <wp:effectExtent l="19050" t="19050" r="23495" b="20955"/>
            <wp:wrapTopAndBottom/>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1881505" cy="2893695"/>
                    </a:xfrm>
                    <a:prstGeom prst="rect">
                      <a:avLst/>
                    </a:prstGeom>
                    <a:noFill/>
                    <a:ln w="9525">
                      <a:solidFill>
                        <a:srgbClr val="000000"/>
                      </a:solidFill>
                      <a:miter lim="800000"/>
                      <a:headEnd/>
                      <a:tailEnd/>
                    </a:ln>
                  </pic:spPr>
                </pic:pic>
              </a:graphicData>
            </a:graphic>
          </wp:anchor>
        </w:drawing>
      </w:r>
    </w:p>
    <w:sectPr w:rsidR="00427252" w:rsidSect="005247DE">
      <w:headerReference w:type="default" r:id="rId19"/>
      <w:footerReference w:type="default" r:id="rId20"/>
      <w:pgSz w:w="12240" w:h="15840" w:code="1"/>
      <w:pgMar w:top="1201" w:right="1418" w:bottom="1418" w:left="1418" w:header="489" w:footer="598"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5009" w:rsidRDefault="00215009" w:rsidP="00427252">
      <w:r>
        <w:separator/>
      </w:r>
    </w:p>
  </w:endnote>
  <w:endnote w:type="continuationSeparator" w:id="0">
    <w:p w:rsidR="00215009" w:rsidRDefault="00215009" w:rsidP="004272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252" w:rsidRDefault="008B4184">
    <w:pPr>
      <w:spacing w:line="180" w:lineRule="exact"/>
      <w:rPr>
        <w:b/>
        <w:color w:val="333399"/>
        <w:sz w:val="14"/>
        <w:szCs w:val="14"/>
      </w:rPr>
    </w:pPr>
    <w:r>
      <w:rPr>
        <w:noProof/>
        <w:sz w:val="22"/>
      </w:rPr>
      <w:drawing>
        <wp:anchor distT="0" distB="0" distL="114300" distR="114300" simplePos="0" relativeHeight="251657728" behindDoc="0" locked="0" layoutInCell="1" allowOverlap="1">
          <wp:simplePos x="0" y="0"/>
          <wp:positionH relativeFrom="column">
            <wp:posOffset>4953000</wp:posOffset>
          </wp:positionH>
          <wp:positionV relativeFrom="paragraph">
            <wp:posOffset>53340</wp:posOffset>
          </wp:positionV>
          <wp:extent cx="975360" cy="398780"/>
          <wp:effectExtent l="1905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75360" cy="398780"/>
                  </a:xfrm>
                  <a:prstGeom prst="rect">
                    <a:avLst/>
                  </a:prstGeom>
                  <a:noFill/>
                  <a:ln w="9525">
                    <a:noFill/>
                    <a:miter lim="800000"/>
                    <a:headEnd/>
                    <a:tailEnd/>
                  </a:ln>
                </pic:spPr>
              </pic:pic>
            </a:graphicData>
          </a:graphic>
        </wp:anchor>
      </w:drawing>
    </w:r>
    <w:r w:rsidR="00427252">
      <w:rPr>
        <w:b/>
        <w:color w:val="333399"/>
        <w:sz w:val="14"/>
        <w:szCs w:val="14"/>
      </w:rPr>
      <w:t>Direction Production Ingénierie</w:t>
    </w:r>
  </w:p>
  <w:p w:rsidR="00427252" w:rsidRDefault="00427252">
    <w:pPr>
      <w:pStyle w:val="Pieddepage"/>
    </w:pPr>
    <w:r>
      <w:rPr>
        <w:b/>
        <w:color w:val="333399"/>
        <w:sz w:val="14"/>
        <w:szCs w:val="14"/>
      </w:rPr>
      <w:t>Division Production Nucléaire</w:t>
    </w:r>
    <w:r w:rsidR="00F262C9">
      <w:t xml:space="preserve"> </w:t>
    </w:r>
    <w:r w:rsidR="00F262C9" w:rsidRPr="00F262C9">
      <w:rPr>
        <w:sz w:val="18"/>
        <w:szCs w:val="18"/>
      </w:rPr>
      <w:t>– MAJ 14/1/2014</w:t>
    </w:r>
    <w:r w:rsidR="00F262C9">
      <w:tab/>
    </w:r>
    <w:r>
      <w:rPr>
        <w:sz w:val="22"/>
      </w:rPr>
      <w:t xml:space="preserve">Page </w:t>
    </w:r>
    <w:r w:rsidR="00F34F35">
      <w:rPr>
        <w:sz w:val="22"/>
      </w:rPr>
      <w:fldChar w:fldCharType="begin"/>
    </w:r>
    <w:r>
      <w:rPr>
        <w:sz w:val="22"/>
      </w:rPr>
      <w:instrText xml:space="preserve"> PAGE </w:instrText>
    </w:r>
    <w:r w:rsidR="00F34F35">
      <w:rPr>
        <w:sz w:val="22"/>
      </w:rPr>
      <w:fldChar w:fldCharType="separate"/>
    </w:r>
    <w:r w:rsidR="00DC3548">
      <w:rPr>
        <w:noProof/>
        <w:sz w:val="22"/>
      </w:rPr>
      <w:t>6</w:t>
    </w:r>
    <w:r w:rsidR="00F34F35">
      <w:rPr>
        <w:sz w:val="22"/>
      </w:rPr>
      <w:fldChar w:fldCharType="end"/>
    </w:r>
    <w:r>
      <w:rPr>
        <w:sz w:val="22"/>
      </w:rPr>
      <w:t xml:space="preserve"> sur </w:t>
    </w:r>
    <w:r w:rsidR="00F34F35">
      <w:rPr>
        <w:sz w:val="22"/>
      </w:rPr>
      <w:fldChar w:fldCharType="begin"/>
    </w:r>
    <w:r>
      <w:rPr>
        <w:sz w:val="22"/>
      </w:rPr>
      <w:instrText xml:space="preserve"> NUMPAGES </w:instrText>
    </w:r>
    <w:r w:rsidR="00F34F35">
      <w:rPr>
        <w:sz w:val="22"/>
      </w:rPr>
      <w:fldChar w:fldCharType="separate"/>
    </w:r>
    <w:r w:rsidR="00DC3548">
      <w:rPr>
        <w:noProof/>
        <w:sz w:val="22"/>
      </w:rPr>
      <w:t>6</w:t>
    </w:r>
    <w:r w:rsidR="00F34F35">
      <w:rPr>
        <w:sz w:val="22"/>
      </w:rPr>
      <w:fldChar w:fldCharType="end"/>
    </w:r>
    <w:r w:rsidR="00F262C9">
      <w:rPr>
        <w:sz w:val="22"/>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5009" w:rsidRDefault="00215009" w:rsidP="00427252">
      <w:r>
        <w:separator/>
      </w:r>
    </w:p>
  </w:footnote>
  <w:footnote w:type="continuationSeparator" w:id="0">
    <w:p w:rsidR="00215009" w:rsidRDefault="00215009" w:rsidP="004272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252" w:rsidRDefault="00164C64">
    <w:pPr>
      <w:pStyle w:val="Titre"/>
      <w:shd w:val="clear" w:color="auto" w:fill="99CC00"/>
      <w:rPr>
        <w:b/>
        <w:bCs/>
        <w:szCs w:val="27"/>
      </w:rPr>
    </w:pPr>
    <w:r>
      <w:t>La démarche</w:t>
    </w:r>
    <w:r w:rsidR="00CF1428">
      <w:t xml:space="preserve"> Performance Humaine  à fin 201</w:t>
    </w:r>
    <w:r w:rsidR="00F262C9">
      <w:t>3</w:t>
    </w:r>
  </w:p>
  <w:p w:rsidR="00427252" w:rsidRDefault="00427252">
    <w:pPr>
      <w:pStyle w:val="En-tte"/>
      <w:ind w:left="-480" w:hanging="1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966BAD"/>
    <w:multiLevelType w:val="hybridMultilevel"/>
    <w:tmpl w:val="162E524E"/>
    <w:lvl w:ilvl="0" w:tplc="36DA9502">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342949B1"/>
    <w:multiLevelType w:val="hybridMultilevel"/>
    <w:tmpl w:val="8536E1AA"/>
    <w:lvl w:ilvl="0" w:tplc="E7705DA8">
      <w:start w:val="2"/>
      <w:numFmt w:val="bullet"/>
      <w:lvlText w:val="-"/>
      <w:lvlJc w:val="left"/>
      <w:pPr>
        <w:tabs>
          <w:tab w:val="num" w:pos="720"/>
        </w:tabs>
        <w:ind w:left="720" w:hanging="360"/>
      </w:pPr>
      <w:rPr>
        <w:rFonts w:ascii="Times New Roman" w:eastAsia="Times New Roman" w:hAnsi="Times New Roman" w:cs="Times New Roman" w:hint="default"/>
        <w:b/>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49102AFE"/>
    <w:multiLevelType w:val="hybridMultilevel"/>
    <w:tmpl w:val="AC0AAA64"/>
    <w:lvl w:ilvl="0" w:tplc="8A2088F6">
      <w:start w:val="1"/>
      <w:numFmt w:val="decimal"/>
      <w:lvlText w:val="%1)"/>
      <w:lvlJc w:val="left"/>
      <w:pPr>
        <w:tabs>
          <w:tab w:val="num" w:pos="720"/>
        </w:tabs>
        <w:ind w:left="720" w:hanging="360"/>
      </w:pPr>
      <w:rPr>
        <w:rFonts w:hint="default"/>
        <w:b w:val="0"/>
        <w:color w:val="auto"/>
        <w:sz w:val="24"/>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5732735C"/>
    <w:multiLevelType w:val="hybridMultilevel"/>
    <w:tmpl w:val="C4C09D6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76F15529"/>
    <w:multiLevelType w:val="hybridMultilevel"/>
    <w:tmpl w:val="B2AAA76E"/>
    <w:lvl w:ilvl="0" w:tplc="FB022BBE">
      <w:start w:val="1"/>
      <w:numFmt w:val="bullet"/>
      <w:lvlText w:val=""/>
      <w:lvlJc w:val="left"/>
      <w:pPr>
        <w:tabs>
          <w:tab w:val="num" w:pos="720"/>
        </w:tabs>
        <w:ind w:left="720" w:hanging="360"/>
      </w:pPr>
      <w:rPr>
        <w:rFonts w:ascii="Symbol" w:hAnsi="Symbol" w:hint="default"/>
        <w:b w:val="0"/>
        <w:i w:val="0"/>
        <w:color w:val="000000"/>
        <w:sz w:val="20"/>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12290"/>
  </w:hdrShapeDefaults>
  <w:footnotePr>
    <w:footnote w:id="-1"/>
    <w:footnote w:id="0"/>
  </w:footnotePr>
  <w:endnotePr>
    <w:endnote w:id="-1"/>
    <w:endnote w:id="0"/>
  </w:endnotePr>
  <w:compat/>
  <w:rsids>
    <w:rsidRoot w:val="002928EB"/>
    <w:rsid w:val="00164C64"/>
    <w:rsid w:val="00197107"/>
    <w:rsid w:val="00215009"/>
    <w:rsid w:val="00237F73"/>
    <w:rsid w:val="002928EB"/>
    <w:rsid w:val="002D017D"/>
    <w:rsid w:val="00385EA1"/>
    <w:rsid w:val="004072DB"/>
    <w:rsid w:val="00427252"/>
    <w:rsid w:val="004B20E1"/>
    <w:rsid w:val="005247DE"/>
    <w:rsid w:val="00534E55"/>
    <w:rsid w:val="005E7BD6"/>
    <w:rsid w:val="006E343C"/>
    <w:rsid w:val="007A6268"/>
    <w:rsid w:val="007D0D4E"/>
    <w:rsid w:val="008B4184"/>
    <w:rsid w:val="00906C13"/>
    <w:rsid w:val="009C564C"/>
    <w:rsid w:val="00AD0936"/>
    <w:rsid w:val="00B970CD"/>
    <w:rsid w:val="00C674B2"/>
    <w:rsid w:val="00C74E79"/>
    <w:rsid w:val="00CF1428"/>
    <w:rsid w:val="00D46129"/>
    <w:rsid w:val="00DC3548"/>
    <w:rsid w:val="00DD6B15"/>
    <w:rsid w:val="00DE5BD9"/>
    <w:rsid w:val="00E31CE4"/>
    <w:rsid w:val="00F02B45"/>
    <w:rsid w:val="00F262C9"/>
    <w:rsid w:val="00F34F3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7DE"/>
    <w:rPr>
      <w:sz w:val="24"/>
      <w:szCs w:val="24"/>
    </w:rPr>
  </w:style>
  <w:style w:type="paragraph" w:styleId="Titre1">
    <w:name w:val="heading 1"/>
    <w:basedOn w:val="Normal"/>
    <w:next w:val="Normal"/>
    <w:qFormat/>
    <w:rsid w:val="005247DE"/>
    <w:pPr>
      <w:keepNext/>
      <w:outlineLvl w:val="0"/>
    </w:pPr>
    <w:rPr>
      <w:color w:val="000000"/>
      <w:spacing w:val="-1"/>
      <w:sz w:val="20"/>
      <w:szCs w:val="19"/>
      <w:u w:val="single"/>
    </w:rPr>
  </w:style>
  <w:style w:type="paragraph" w:styleId="Titre2">
    <w:name w:val="heading 2"/>
    <w:basedOn w:val="Normal"/>
    <w:next w:val="Normal"/>
    <w:qFormat/>
    <w:rsid w:val="005247DE"/>
    <w:pPr>
      <w:keepNext/>
      <w:outlineLvl w:val="1"/>
    </w:pPr>
    <w:rPr>
      <w:sz w:val="20"/>
      <w:u w:val="single"/>
    </w:rPr>
  </w:style>
  <w:style w:type="paragraph" w:styleId="Titre3">
    <w:name w:val="heading 3"/>
    <w:basedOn w:val="Normal"/>
    <w:next w:val="Normal"/>
    <w:qFormat/>
    <w:rsid w:val="005247DE"/>
    <w:pPr>
      <w:keepNext/>
      <w:jc w:val="center"/>
      <w:outlineLvl w:val="2"/>
    </w:pPr>
    <w:rPr>
      <w:rFonts w:cs="Arial"/>
      <w:b/>
      <w:bCs/>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5247DE"/>
    <w:pPr>
      <w:jc w:val="center"/>
    </w:pPr>
    <w:rPr>
      <w:color w:val="000000"/>
      <w:spacing w:val="-1"/>
      <w:sz w:val="32"/>
      <w:szCs w:val="22"/>
    </w:rPr>
  </w:style>
  <w:style w:type="paragraph" w:styleId="En-tte">
    <w:name w:val="header"/>
    <w:basedOn w:val="Normal"/>
    <w:semiHidden/>
    <w:rsid w:val="005247DE"/>
    <w:pPr>
      <w:tabs>
        <w:tab w:val="center" w:pos="4536"/>
        <w:tab w:val="right" w:pos="9072"/>
      </w:tabs>
    </w:pPr>
  </w:style>
  <w:style w:type="paragraph" w:styleId="Pieddepage">
    <w:name w:val="footer"/>
    <w:basedOn w:val="Normal"/>
    <w:semiHidden/>
    <w:rsid w:val="005247DE"/>
    <w:pPr>
      <w:tabs>
        <w:tab w:val="center" w:pos="4536"/>
        <w:tab w:val="right" w:pos="9072"/>
      </w:tabs>
    </w:pPr>
  </w:style>
  <w:style w:type="paragraph" w:styleId="Corpsdetexte">
    <w:name w:val="Body Text"/>
    <w:basedOn w:val="Normal"/>
    <w:semiHidden/>
    <w:rsid w:val="005247DE"/>
    <w:rPr>
      <w:color w:val="000000"/>
      <w:spacing w:val="-1"/>
      <w:sz w:val="20"/>
      <w:szCs w:val="19"/>
    </w:rPr>
  </w:style>
  <w:style w:type="paragraph" w:styleId="Corpsdetexte2">
    <w:name w:val="Body Text 2"/>
    <w:basedOn w:val="Normal"/>
    <w:semiHidden/>
    <w:rsid w:val="005247DE"/>
    <w:rPr>
      <w:i/>
      <w:iCs/>
      <w:color w:val="000000"/>
      <w:spacing w:val="-1"/>
      <w:szCs w:val="19"/>
    </w:rPr>
  </w:style>
  <w:style w:type="paragraph" w:styleId="Retraitcorpsdetexte">
    <w:name w:val="Body Text Indent"/>
    <w:basedOn w:val="Normal"/>
    <w:semiHidden/>
    <w:rsid w:val="005247DE"/>
    <w:pPr>
      <w:ind w:left="360" w:hanging="120"/>
    </w:pPr>
    <w:rPr>
      <w:color w:val="000000"/>
      <w:spacing w:val="-1"/>
      <w:sz w:val="20"/>
      <w:szCs w:val="19"/>
    </w:rPr>
  </w:style>
  <w:style w:type="paragraph" w:styleId="Retraitcorpsdetexte2">
    <w:name w:val="Body Text Indent 2"/>
    <w:basedOn w:val="Normal"/>
    <w:semiHidden/>
    <w:rsid w:val="005247DE"/>
    <w:pPr>
      <w:tabs>
        <w:tab w:val="left" w:pos="360"/>
      </w:tabs>
      <w:ind w:left="240"/>
    </w:pPr>
    <w:rPr>
      <w:color w:val="000000"/>
      <w:spacing w:val="-1"/>
      <w:sz w:val="20"/>
      <w:szCs w:val="19"/>
    </w:rPr>
  </w:style>
  <w:style w:type="paragraph" w:styleId="Retraitcorpsdetexte3">
    <w:name w:val="Body Text Indent 3"/>
    <w:basedOn w:val="Normal"/>
    <w:semiHidden/>
    <w:rsid w:val="005247DE"/>
    <w:pPr>
      <w:widowControl w:val="0"/>
      <w:autoSpaceDE w:val="0"/>
      <w:autoSpaceDN w:val="0"/>
      <w:adjustRightInd w:val="0"/>
      <w:ind w:left="480"/>
      <w:jc w:val="both"/>
    </w:pPr>
    <w:rPr>
      <w:color w:val="000000"/>
      <w:spacing w:val="-1"/>
      <w:sz w:val="20"/>
      <w:szCs w:val="19"/>
    </w:rPr>
  </w:style>
  <w:style w:type="paragraph" w:styleId="Normalcentr">
    <w:name w:val="Block Text"/>
    <w:basedOn w:val="Normal"/>
    <w:semiHidden/>
    <w:rsid w:val="005247DE"/>
    <w:pPr>
      <w:shd w:val="clear" w:color="auto" w:fill="CCFFCC"/>
      <w:ind w:left="1080" w:right="884"/>
      <w:jc w:val="both"/>
    </w:pPr>
    <w:rPr>
      <w:color w:val="000000"/>
      <w:spacing w:val="-1"/>
      <w:sz w:val="20"/>
      <w:szCs w:val="19"/>
    </w:rPr>
  </w:style>
  <w:style w:type="paragraph" w:styleId="Corpsdetexte3">
    <w:name w:val="Body Text 3"/>
    <w:basedOn w:val="Normal"/>
    <w:semiHidden/>
    <w:rsid w:val="005247DE"/>
    <w:pPr>
      <w:jc w:val="both"/>
    </w:pPr>
    <w:rPr>
      <w:sz w:val="20"/>
    </w:rPr>
  </w:style>
  <w:style w:type="paragraph" w:customStyle="1" w:styleId="EdfParagraphe3">
    <w:name w:val="Edf Paragraphe 3"/>
    <w:rsid w:val="005247DE"/>
    <w:pPr>
      <w:keepLines/>
      <w:suppressAutoHyphens/>
      <w:spacing w:line="280" w:lineRule="atLeast"/>
      <w:ind w:left="567"/>
      <w:jc w:val="both"/>
    </w:pPr>
    <w:rPr>
      <w:rFonts w:ascii="Arial" w:hAnsi="Arial"/>
      <w:sz w:val="18"/>
    </w:rPr>
  </w:style>
  <w:style w:type="paragraph" w:styleId="Textedebulles">
    <w:name w:val="Balloon Text"/>
    <w:basedOn w:val="Normal"/>
    <w:link w:val="TextedebullesCar"/>
    <w:uiPriority w:val="99"/>
    <w:semiHidden/>
    <w:unhideWhenUsed/>
    <w:rsid w:val="008B4184"/>
    <w:rPr>
      <w:rFonts w:ascii="Tahoma" w:hAnsi="Tahoma" w:cs="Tahoma"/>
      <w:sz w:val="16"/>
      <w:szCs w:val="16"/>
    </w:rPr>
  </w:style>
  <w:style w:type="character" w:customStyle="1" w:styleId="TextedebullesCar">
    <w:name w:val="Texte de bulles Car"/>
    <w:basedOn w:val="Policepardfaut"/>
    <w:link w:val="Textedebulles"/>
    <w:uiPriority w:val="99"/>
    <w:semiHidden/>
    <w:rsid w:val="008B4184"/>
    <w:rPr>
      <w:rFonts w:ascii="Tahoma" w:hAnsi="Tahoma" w:cs="Tahoma"/>
      <w:sz w:val="16"/>
      <w:szCs w:val="16"/>
    </w:rPr>
  </w:style>
  <w:style w:type="paragraph" w:styleId="Paragraphedeliste">
    <w:name w:val="List Paragraph"/>
    <w:basedOn w:val="Normal"/>
    <w:uiPriority w:val="34"/>
    <w:qFormat/>
    <w:rsid w:val="00237F7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image" Target="media/image12.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w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1</Pages>
  <Words>1675</Words>
  <Characters>9218</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Après 25 ans de prise en compte du facteur humain dans le nucléaire, la Division Production Nucléaire d’EDF lance début 2006 u</vt:lpstr>
    </vt:vector>
  </TitlesOfParts>
  <Company>EDF - Gaz de France</Company>
  <LinksUpToDate>false</LinksUpToDate>
  <CharactersWithSpaces>10872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Après 25 ans de prise en compte du facteur humain dans le nucléaire, la Division Production Nucléaire d’EDF lance début 2006 u</dc:title>
  <dc:creator>Frederic STOSCHEK</dc:creator>
  <cp:lastModifiedBy>F08200</cp:lastModifiedBy>
  <cp:revision>9</cp:revision>
  <cp:lastPrinted>2014-01-17T07:05:00Z</cp:lastPrinted>
  <dcterms:created xsi:type="dcterms:W3CDTF">2014-01-14T10:36:00Z</dcterms:created>
  <dcterms:modified xsi:type="dcterms:W3CDTF">2014-01-17T07:07:00Z</dcterms:modified>
</cp:coreProperties>
</file>