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48" w:rsidRDefault="002D0B86" w:rsidP="00051448">
      <w:pPr>
        <w:jc w:val="right"/>
        <w:rPr>
          <w:b/>
          <w:sz w:val="32"/>
        </w:rPr>
      </w:pPr>
      <w:r>
        <w:rPr>
          <w:b/>
          <w:color w:val="FF0000"/>
          <w:sz w:val="32"/>
        </w:rPr>
        <w:t>EE</w:t>
      </w:r>
      <w:r w:rsidR="00051448" w:rsidRPr="007D2D36">
        <w:rPr>
          <w:b/>
          <w:sz w:val="32"/>
        </w:rPr>
        <w:t xml:space="preserve"> : </w:t>
      </w:r>
      <w:r>
        <w:rPr>
          <w:b/>
          <w:sz w:val="32"/>
        </w:rPr>
        <w:t>Enérgie et environnement</w:t>
      </w:r>
    </w:p>
    <w:p w:rsidR="007B391C" w:rsidRDefault="007B391C" w:rsidP="00051448">
      <w:pPr>
        <w:jc w:val="right"/>
        <w:rPr>
          <w:b/>
          <w:sz w:val="32"/>
        </w:rPr>
      </w:pPr>
    </w:p>
    <w:p w:rsidR="00A518A6" w:rsidRDefault="00AE7DE8" w:rsidP="00AE7DE8">
      <w:pPr>
        <w:rPr>
          <w:b/>
          <w:color w:val="365F91" w:themeColor="accent1" w:themeShade="BF"/>
          <w:sz w:val="24"/>
        </w:rPr>
      </w:pPr>
      <w:r w:rsidRPr="00AB6E1C">
        <w:rPr>
          <w:b/>
          <w:color w:val="365F91" w:themeColor="accent1" w:themeShade="BF"/>
          <w:sz w:val="24"/>
        </w:rPr>
        <w:t>EE</w:t>
      </w:r>
      <w:r>
        <w:rPr>
          <w:b/>
          <w:color w:val="365F91" w:themeColor="accent1" w:themeShade="BF"/>
          <w:sz w:val="24"/>
        </w:rPr>
        <w:t>5</w:t>
      </w:r>
      <w:r w:rsidR="00FF1E32">
        <w:rPr>
          <w:b/>
          <w:color w:val="365F91" w:themeColor="accent1" w:themeShade="BF"/>
          <w:sz w:val="24"/>
        </w:rPr>
        <w:t>.3</w:t>
      </w:r>
      <w:r w:rsidRPr="00AB6E1C">
        <w:rPr>
          <w:b/>
          <w:color w:val="365F91" w:themeColor="accent1" w:themeShade="BF"/>
          <w:sz w:val="24"/>
        </w:rPr>
        <w:t xml:space="preserve">– Pompe à chaleur – </w:t>
      </w:r>
      <w:r>
        <w:rPr>
          <w:b/>
          <w:color w:val="365F91" w:themeColor="accent1" w:themeShade="BF"/>
          <w:sz w:val="24"/>
        </w:rPr>
        <w:t>Comparaison avec d’autres modes de chauffage</w:t>
      </w:r>
    </w:p>
    <w:p w:rsidR="001D05A4" w:rsidRPr="00AB6E1C" w:rsidRDefault="001D05A4" w:rsidP="001D05A4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 w:rsidRPr="00AB6E1C"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 xml:space="preserve">Concepteurs: Académie </w:t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Toulouse</w:t>
      </w:r>
    </w:p>
    <w:p w:rsidR="001D05A4" w:rsidRPr="00AB6E1C" w:rsidRDefault="001D05A4" w:rsidP="001D05A4">
      <w:pPr>
        <w:numPr>
          <w:ilvl w:val="0"/>
          <w:numId w:val="3"/>
        </w:numPr>
        <w:spacing w:before="100" w:beforeAutospacing="1" w:after="100" w:afterAutospacing="1"/>
        <w:ind w:left="567" w:firstLine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Olivier Fouché</w:t>
      </w:r>
    </w:p>
    <w:p w:rsidR="001D05A4" w:rsidRPr="00AB6E1C" w:rsidRDefault="001D05A4" w:rsidP="001D05A4">
      <w:pPr>
        <w:numPr>
          <w:ilvl w:val="0"/>
          <w:numId w:val="3"/>
        </w:numPr>
        <w:spacing w:before="100" w:beforeAutospacing="1" w:after="100" w:afterAutospacing="1"/>
        <w:ind w:left="567" w:firstLine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Olivier Plouviez</w:t>
      </w:r>
    </w:p>
    <w:p w:rsidR="001D05A4" w:rsidRPr="00AB6E1C" w:rsidRDefault="001D05A4" w:rsidP="001D05A4">
      <w:pPr>
        <w:numPr>
          <w:ilvl w:val="0"/>
          <w:numId w:val="3"/>
        </w:numPr>
        <w:spacing w:before="100" w:beforeAutospacing="1" w:after="100" w:afterAutospacing="1"/>
        <w:ind w:left="567" w:firstLine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Fernand Rodrigues-Dos-Reis</w:t>
      </w:r>
    </w:p>
    <w:p w:rsidR="001D05A4" w:rsidRPr="00AD0D40" w:rsidRDefault="001D05A4" w:rsidP="001D05A4">
      <w:pPr>
        <w:rPr>
          <w:b/>
          <w:color w:val="365F91" w:themeColor="accent1" w:themeShade="BF"/>
          <w:sz w:val="24"/>
        </w:rPr>
      </w:pPr>
      <w:r>
        <w:rPr>
          <w:b/>
          <w:color w:val="365F91" w:themeColor="accent1" w:themeShade="BF"/>
          <w:sz w:val="24"/>
        </w:rPr>
        <w:t>Activités de formation :</w:t>
      </w:r>
    </w:p>
    <w:p w:rsidR="001D05A4" w:rsidRPr="00F93D17" w:rsidRDefault="001D05A4" w:rsidP="001D05A4">
      <w:pPr>
        <w:spacing w:after="0"/>
        <w:ind w:left="3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1D05A4" w:rsidRDefault="001D05A4" w:rsidP="001D05A4">
      <w:pPr>
        <w:pStyle w:val="Paragraphedeliste"/>
        <w:numPr>
          <w:ilvl w:val="0"/>
          <w:numId w:val="4"/>
        </w:numPr>
        <w:spacing w:after="0"/>
        <w:ind w:hanging="11"/>
        <w:jc w:val="both"/>
        <w:rPr>
          <w:rFonts w:ascii="Times New Roman" w:eastAsia="Times New Roman" w:hAnsi="Times New Roman"/>
          <w:b/>
          <w:color w:val="666666"/>
          <w:sz w:val="20"/>
          <w:szCs w:val="20"/>
          <w:u w:val="single"/>
          <w:lang w:eastAsia="fr-FR"/>
        </w:rPr>
      </w:pPr>
      <w:r>
        <w:rPr>
          <w:rFonts w:ascii="Times New Roman" w:eastAsia="Times New Roman" w:hAnsi="Times New Roman"/>
          <w:b/>
          <w:color w:val="666666"/>
          <w:sz w:val="20"/>
          <w:szCs w:val="20"/>
          <w:u w:val="single"/>
          <w:lang w:eastAsia="fr-FR"/>
        </w:rPr>
        <w:t>Calcul du besoin annuel</w:t>
      </w:r>
    </w:p>
    <w:p w:rsidR="001D05A4" w:rsidRPr="001D05A4" w:rsidRDefault="007231D8" w:rsidP="001D05A4">
      <w:pPr>
        <w:spacing w:after="0"/>
        <w:ind w:left="15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noProof/>
          <w:color w:val="666666"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3907230</wp:posOffset>
            </wp:positionH>
            <wp:positionV relativeFrom="paragraph">
              <wp:posOffset>107539</wp:posOffset>
            </wp:positionV>
            <wp:extent cx="2293844" cy="1261035"/>
            <wp:effectExtent l="19050" t="0" r="0" b="0"/>
            <wp:wrapNone/>
            <wp:docPr id="1" name="Image 4" descr="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93844" cy="1261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31D8" w:rsidRDefault="007231D8" w:rsidP="007231D8">
      <w:pPr>
        <w:pStyle w:val="Paragraphedeliste"/>
        <w:numPr>
          <w:ilvl w:val="2"/>
          <w:numId w:val="3"/>
        </w:numPr>
        <w:spacing w:after="0"/>
        <w:ind w:right="4244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En utilisant l’outil Consopac (voir le module EE1.3), le besoin annuel est de 3525kWh</w:t>
      </w:r>
    </w:p>
    <w:p w:rsidR="007231D8" w:rsidRDefault="007231D8" w:rsidP="007231D8">
      <w:pPr>
        <w:pStyle w:val="Paragraphedeliste"/>
        <w:spacing w:after="0"/>
        <w:ind w:left="21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7231D8" w:rsidRDefault="007231D8" w:rsidP="007231D8">
      <w:pPr>
        <w:pStyle w:val="Paragraphedeliste"/>
        <w:spacing w:after="0"/>
        <w:ind w:left="21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7231D8" w:rsidRDefault="007231D8" w:rsidP="007231D8">
      <w:pPr>
        <w:pStyle w:val="Paragraphedeliste"/>
        <w:spacing w:after="0"/>
        <w:ind w:left="21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7231D8" w:rsidRDefault="007231D8" w:rsidP="007231D8">
      <w:pPr>
        <w:pStyle w:val="Paragraphedeliste"/>
        <w:spacing w:after="0"/>
        <w:ind w:left="21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7231D8" w:rsidRDefault="007231D8" w:rsidP="007231D8">
      <w:pPr>
        <w:pStyle w:val="Paragraphedeliste"/>
        <w:spacing w:after="0"/>
        <w:ind w:left="21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1D05A4" w:rsidRDefault="001D05A4" w:rsidP="001D05A4">
      <w:pPr>
        <w:spacing w:after="0"/>
        <w:ind w:left="15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1D05A4" w:rsidRPr="001D05A4" w:rsidRDefault="001D05A4" w:rsidP="001D05A4">
      <w:pPr>
        <w:spacing w:after="0"/>
        <w:ind w:left="15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Détermination par le logiciel ArchiWizard</w:t>
      </w:r>
    </w:p>
    <w:p w:rsidR="001D05A4" w:rsidRPr="001D05A4" w:rsidRDefault="001D05A4" w:rsidP="001D05A4">
      <w:pPr>
        <w:spacing w:after="0"/>
        <w:ind w:left="156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1D05A4" w:rsidRDefault="001D05A4" w:rsidP="001D05A4">
      <w:pPr>
        <w:pStyle w:val="Paragraphedeliste"/>
        <w:numPr>
          <w:ilvl w:val="0"/>
          <w:numId w:val="4"/>
        </w:numPr>
        <w:spacing w:after="0"/>
        <w:ind w:hanging="11"/>
        <w:jc w:val="both"/>
        <w:rPr>
          <w:rFonts w:ascii="Times New Roman" w:eastAsia="Times New Roman" w:hAnsi="Times New Roman"/>
          <w:b/>
          <w:color w:val="666666"/>
          <w:sz w:val="20"/>
          <w:szCs w:val="20"/>
          <w:u w:val="single"/>
          <w:lang w:eastAsia="fr-FR"/>
        </w:rPr>
      </w:pPr>
      <w:r>
        <w:rPr>
          <w:rFonts w:ascii="Times New Roman" w:eastAsia="Times New Roman" w:hAnsi="Times New Roman"/>
          <w:b/>
          <w:color w:val="666666"/>
          <w:sz w:val="20"/>
          <w:szCs w:val="20"/>
          <w:u w:val="single"/>
          <w:lang w:eastAsia="fr-FR"/>
        </w:rPr>
        <w:t xml:space="preserve">Comparaison par la consommation énergétique </w:t>
      </w:r>
    </w:p>
    <w:p w:rsidR="007231D8" w:rsidRDefault="007231D8" w:rsidP="007231D8">
      <w:pPr>
        <w:spacing w:after="0"/>
        <w:jc w:val="both"/>
        <w:rPr>
          <w:rFonts w:ascii="Times New Roman" w:eastAsia="Times New Roman" w:hAnsi="Times New Roman"/>
          <w:b/>
          <w:color w:val="666666"/>
          <w:sz w:val="20"/>
          <w:szCs w:val="20"/>
          <w:u w:val="single"/>
          <w:lang w:eastAsia="fr-FR"/>
        </w:rPr>
      </w:pPr>
    </w:p>
    <w:p w:rsidR="007231D8" w:rsidRDefault="007231D8" w:rsidP="007231D8">
      <w:pPr>
        <w:pStyle w:val="Paragraphedeliste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 w:rsidRPr="007231D8"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Par les tableaux</w:t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.</w:t>
      </w:r>
    </w:p>
    <w:p w:rsidR="005E732E" w:rsidRPr="005E732E" w:rsidRDefault="005E732E" w:rsidP="005E732E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7231D8" w:rsidRPr="005E732E" w:rsidRDefault="005E732E" w:rsidP="005E732E">
      <w:pPr>
        <w:spacing w:after="0"/>
        <w:ind w:left="2268"/>
        <w:jc w:val="both"/>
        <w:rPr>
          <w:rFonts w:ascii="Times New Roman" w:eastAsia="Times New Roman" w:hAnsi="Times New Roman"/>
          <w:i/>
          <w:color w:val="666666"/>
          <w:sz w:val="18"/>
          <w:szCs w:val="18"/>
          <w:lang w:eastAsia="fr-FR"/>
        </w:rPr>
      </w:pPr>
      <w:r w:rsidRPr="005E732E">
        <w:rPr>
          <w:rFonts w:ascii="Times New Roman" w:eastAsia="Times New Roman" w:hAnsi="Times New Roman"/>
          <w:i/>
          <w:color w:val="666666"/>
          <w:sz w:val="18"/>
          <w:szCs w:val="18"/>
          <w:lang w:eastAsia="fr-FR"/>
        </w:rPr>
        <w:t>Remarque : tous les coefficients utilisés dans les tableaux sont donnés dans le corpus de connaissances</w:t>
      </w:r>
    </w:p>
    <w:p w:rsidR="005E732E" w:rsidRDefault="005E732E" w:rsidP="005E732E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7231D8" w:rsidRDefault="007231D8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En utilisant les tableaux donnés en corpus de connaissances, le besoin thermique peut être exprimé en énergie primaire.</w:t>
      </w:r>
    </w:p>
    <w:p w:rsidR="007231D8" w:rsidRDefault="007231D8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7231D8" w:rsidRDefault="0066424B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 xml:space="preserve">Prise en compte des rendements des modes de chauffage : besoin </w:t>
      </w:r>
      <w:r w:rsidR="008423FB"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3525</w:t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kW</w:t>
      </w:r>
      <w:r w:rsidR="008423FB"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h</w:t>
      </w:r>
    </w:p>
    <w:p w:rsidR="007231D8" w:rsidRDefault="007231D8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tbl>
      <w:tblPr>
        <w:tblW w:w="9214" w:type="dxa"/>
        <w:tblInd w:w="921" w:type="dxa"/>
        <w:tblCellMar>
          <w:left w:w="70" w:type="dxa"/>
          <w:right w:w="70" w:type="dxa"/>
        </w:tblCellMar>
        <w:tblLook w:val="04A0"/>
      </w:tblPr>
      <w:tblGrid>
        <w:gridCol w:w="2977"/>
        <w:gridCol w:w="1842"/>
        <w:gridCol w:w="2410"/>
        <w:gridCol w:w="1985"/>
      </w:tblGrid>
      <w:tr w:rsidR="00337D10" w:rsidRPr="0066424B" w:rsidTr="00337D10">
        <w:trPr>
          <w:trHeight w:val="381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  <w:t>Energie :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  <w:t>Rendement de génération :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Besoin en énergie</w:t>
            </w:r>
            <w:r w:rsidRPr="008423FB"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 xml:space="preserve"> /an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37D10" w:rsidRDefault="00337D10" w:rsidP="0066424B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Coût</w:t>
            </w:r>
          </w:p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Annule HT</w:t>
            </w:r>
          </w:p>
        </w:tc>
      </w:tr>
      <w:tr w:rsidR="00337D10" w:rsidRPr="0066424B" w:rsidTr="00337D10">
        <w:trPr>
          <w:trHeight w:val="14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Electrique (effet joule)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3525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kW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h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 xml:space="preserve"> Elec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7D10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276,71€*</w:t>
            </w:r>
          </w:p>
        </w:tc>
      </w:tr>
      <w:tr w:rsidR="00337D10" w:rsidRPr="0066424B" w:rsidTr="00337D10">
        <w:trPr>
          <w:trHeight w:val="14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PAC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2 à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7D10" w:rsidRPr="0066424B" w:rsidRDefault="00337D10" w:rsidP="008423F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175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kW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h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 xml:space="preserve"> Elec (Cop=3)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7D10" w:rsidRPr="0066424B" w:rsidRDefault="00337D10" w:rsidP="008423F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92,23€</w:t>
            </w:r>
          </w:p>
        </w:tc>
      </w:tr>
      <w:tr w:rsidR="00337D10" w:rsidRPr="0066424B" w:rsidTr="00337D10">
        <w:trPr>
          <w:trHeight w:val="14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Gaz Naturel (Haut rendement)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0,9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3916kWh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 xml:space="preserve"> gaz naturel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7D10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163,29€**</w:t>
            </w:r>
          </w:p>
        </w:tc>
      </w:tr>
      <w:tr w:rsidR="00337D10" w:rsidRPr="0066424B" w:rsidTr="00337D10">
        <w:trPr>
          <w:trHeight w:val="14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Gaz Naturel (Condensation)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3204kWh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 xml:space="preserve"> gaz naturel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7D10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133,60€</w:t>
            </w:r>
          </w:p>
        </w:tc>
      </w:tr>
    </w:tbl>
    <w:p w:rsidR="0066424B" w:rsidRDefault="00337D10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* Prix du kWh électrique en tarif de base au 25/09/2010 : 0,07850€</w:t>
      </w:r>
    </w:p>
    <w:p w:rsidR="00337D10" w:rsidRDefault="00337D10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**Prix du kWh gaz naturel au 25/09/2010 : 0,04170€</w:t>
      </w:r>
    </w:p>
    <w:p w:rsidR="00337D10" w:rsidRDefault="00337D10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5E732E" w:rsidRDefault="005E732E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5E732E" w:rsidRDefault="005E732E">
      <w:pPr>
        <w:spacing w:after="0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br w:type="page"/>
      </w:r>
    </w:p>
    <w:p w:rsidR="0066424B" w:rsidRDefault="0066424B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lastRenderedPageBreak/>
        <w:t>Besoin en énergie primaire</w:t>
      </w:r>
    </w:p>
    <w:p w:rsidR="0066424B" w:rsidRDefault="0066424B" w:rsidP="007231D8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tbl>
      <w:tblPr>
        <w:tblW w:w="9214" w:type="dxa"/>
        <w:tblInd w:w="921" w:type="dxa"/>
        <w:tblCellMar>
          <w:left w:w="70" w:type="dxa"/>
          <w:right w:w="70" w:type="dxa"/>
        </w:tblCellMar>
        <w:tblLook w:val="04A0"/>
      </w:tblPr>
      <w:tblGrid>
        <w:gridCol w:w="2977"/>
        <w:gridCol w:w="1842"/>
        <w:gridCol w:w="2410"/>
        <w:gridCol w:w="1985"/>
      </w:tblGrid>
      <w:tr w:rsidR="00337D10" w:rsidRPr="0066424B" w:rsidTr="00337D10">
        <w:trPr>
          <w:trHeight w:val="381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  <w:t>Energie :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D10" w:rsidRDefault="00337D10" w:rsidP="00C737B9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  <w:t>Coefficient</w:t>
            </w:r>
          </w:p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  <w:t>RT 2005 et 2012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Besoin en énergie</w:t>
            </w:r>
            <w:r w:rsidRPr="008423FB"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 xml:space="preserve"> /an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37D10" w:rsidRDefault="00337D10" w:rsidP="00C737B9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Coût</w:t>
            </w:r>
          </w:p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Annuel HT</w:t>
            </w:r>
          </w:p>
        </w:tc>
      </w:tr>
      <w:tr w:rsidR="00337D10" w:rsidRPr="0066424B" w:rsidTr="00337D10">
        <w:trPr>
          <w:trHeight w:val="14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Electrique (effet joule)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2,58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9094kWh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 xml:space="preserve"> Elec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7D10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713,87€</w:t>
            </w:r>
          </w:p>
        </w:tc>
      </w:tr>
      <w:tr w:rsidR="00337D10" w:rsidRPr="0066424B" w:rsidTr="00337D10">
        <w:trPr>
          <w:trHeight w:val="14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PAC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2,58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7D10" w:rsidRPr="0066424B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3031kWh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 xml:space="preserve"> Elec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7D10" w:rsidRDefault="00337D10" w:rsidP="0066424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237,93€</w:t>
            </w:r>
          </w:p>
        </w:tc>
      </w:tr>
      <w:tr w:rsidR="00337D10" w:rsidRPr="0066424B" w:rsidTr="00337D10">
        <w:trPr>
          <w:trHeight w:val="14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Gaz Naturel (Haut rendement)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3916kWh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 xml:space="preserve"> gaz naturel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7D10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163.29€</w:t>
            </w:r>
          </w:p>
        </w:tc>
      </w:tr>
      <w:tr w:rsidR="00337D10" w:rsidRPr="0066424B" w:rsidTr="00337D10">
        <w:trPr>
          <w:trHeight w:val="14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Gaz Naturel (Condensation)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7D10" w:rsidRPr="0066424B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3204hWh</w:t>
            </w: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 xml:space="preserve"> gaz naturel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7D10" w:rsidRDefault="00337D10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133,60€</w:t>
            </w:r>
          </w:p>
        </w:tc>
      </w:tr>
    </w:tbl>
    <w:p w:rsidR="007231D8" w:rsidRDefault="007231D8" w:rsidP="007231D8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8423FB" w:rsidRDefault="008423FB" w:rsidP="008423FB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Effet sur le climat : l</w:t>
      </w:r>
      <w:r w:rsidR="000F5F01"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e</w:t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 xml:space="preserve"> facteur de mesure pour le réchauffement climatique est le CO</w:t>
      </w:r>
      <w:r w:rsidRPr="008423FB">
        <w:rPr>
          <w:rFonts w:ascii="Times New Roman" w:eastAsia="Times New Roman" w:hAnsi="Times New Roman"/>
          <w:color w:val="666666"/>
          <w:sz w:val="20"/>
          <w:szCs w:val="20"/>
          <w:vertAlign w:val="subscript"/>
          <w:lang w:eastAsia="fr-FR"/>
        </w:rPr>
        <w:t>2</w:t>
      </w:r>
    </w:p>
    <w:p w:rsidR="008423FB" w:rsidRDefault="008423FB" w:rsidP="008423FB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tbl>
      <w:tblPr>
        <w:tblW w:w="8340" w:type="dxa"/>
        <w:tblInd w:w="921" w:type="dxa"/>
        <w:tblCellMar>
          <w:left w:w="70" w:type="dxa"/>
          <w:right w:w="70" w:type="dxa"/>
        </w:tblCellMar>
        <w:tblLook w:val="04A0"/>
      </w:tblPr>
      <w:tblGrid>
        <w:gridCol w:w="3960"/>
        <w:gridCol w:w="1900"/>
        <w:gridCol w:w="2480"/>
      </w:tblGrid>
      <w:tr w:rsidR="008423FB" w:rsidRPr="0066424B" w:rsidTr="00C737B9">
        <w:trPr>
          <w:trHeight w:val="381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  <w:t>Energie :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3FB" w:rsidRDefault="008423FB" w:rsidP="00C737B9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  <w:t>Coef d’Emission de CO</w:t>
            </w:r>
            <w:r w:rsidRPr="008423FB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vertAlign w:val="subscript"/>
                <w:lang w:eastAsia="fr-FR"/>
              </w:rPr>
              <w:t>2</w:t>
            </w:r>
          </w:p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fr-FR"/>
              </w:rPr>
              <w:t>Kg/kWh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3FB" w:rsidRPr="0066424B" w:rsidRDefault="008423FB" w:rsidP="008423FB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</w:pPr>
            <w:r w:rsidRPr="008423FB"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Emission en CO</w:t>
            </w:r>
            <w:r w:rsidRPr="008423FB">
              <w:rPr>
                <w:rFonts w:eastAsia="Times New Roman" w:cs="Arial"/>
                <w:b/>
                <w:color w:val="000000"/>
                <w:sz w:val="16"/>
                <w:szCs w:val="16"/>
                <w:vertAlign w:val="subscript"/>
                <w:lang w:eastAsia="fr-FR"/>
              </w:rPr>
              <w:t>2</w:t>
            </w:r>
            <w:r w:rsidRPr="008423FB"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 xml:space="preserve"> en </w:t>
            </w: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k</w:t>
            </w:r>
            <w:r w:rsidRPr="008423FB"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g</w:t>
            </w: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fr-FR"/>
              </w:rPr>
              <w:t>/an</w:t>
            </w:r>
          </w:p>
        </w:tc>
      </w:tr>
      <w:tr w:rsidR="008423FB" w:rsidRPr="0066424B" w:rsidTr="00C737B9">
        <w:trPr>
          <w:trHeight w:val="14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Electrique (effet joule)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0,18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3FB" w:rsidRPr="0066424B" w:rsidRDefault="008423FB" w:rsidP="008423F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1636</w:t>
            </w:r>
          </w:p>
        </w:tc>
      </w:tr>
      <w:tr w:rsidR="008423FB" w:rsidRPr="0066424B" w:rsidTr="00C737B9">
        <w:trPr>
          <w:trHeight w:val="14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PAC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0,18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3FB" w:rsidRPr="0066424B" w:rsidRDefault="008423FB" w:rsidP="008423F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545</w:t>
            </w:r>
          </w:p>
        </w:tc>
      </w:tr>
      <w:tr w:rsidR="008423FB" w:rsidRPr="0066424B" w:rsidTr="00C737B9">
        <w:trPr>
          <w:trHeight w:val="14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Gaz Naturel (Haut rendement)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0,2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3FB" w:rsidRPr="0066424B" w:rsidRDefault="008423FB" w:rsidP="008423F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783</w:t>
            </w:r>
          </w:p>
        </w:tc>
      </w:tr>
      <w:tr w:rsidR="008423FB" w:rsidRPr="0066424B" w:rsidTr="00C737B9">
        <w:trPr>
          <w:trHeight w:val="14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 w:rsidRPr="0066424B"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Gaz Naturel (Condensation)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3FB" w:rsidRPr="0066424B" w:rsidRDefault="008423FB" w:rsidP="00C737B9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0,2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3FB" w:rsidRPr="0066424B" w:rsidRDefault="008423FB" w:rsidP="008423FB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fr-FR"/>
              </w:rPr>
              <w:t>640</w:t>
            </w:r>
          </w:p>
        </w:tc>
      </w:tr>
    </w:tbl>
    <w:p w:rsidR="007231D8" w:rsidRPr="007231D8" w:rsidRDefault="007231D8" w:rsidP="007231D8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597CC1" w:rsidRDefault="00597CC1" w:rsidP="00597CC1">
      <w:pPr>
        <w:spacing w:after="0"/>
        <w:jc w:val="both"/>
        <w:rPr>
          <w:rFonts w:ascii="Times New Roman" w:eastAsia="Times New Roman" w:hAnsi="Times New Roman"/>
          <w:b/>
          <w:color w:val="666666"/>
          <w:sz w:val="20"/>
          <w:szCs w:val="20"/>
          <w:u w:val="single"/>
          <w:lang w:eastAsia="fr-FR"/>
        </w:rPr>
      </w:pPr>
    </w:p>
    <w:p w:rsidR="00597CC1" w:rsidRDefault="00597CC1" w:rsidP="00597CC1">
      <w:pPr>
        <w:pStyle w:val="Paragraphedeliste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 w:rsidRPr="007231D8"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 xml:space="preserve">Par </w:t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l’outil Consopac</w:t>
      </w:r>
    </w:p>
    <w:p w:rsidR="00597CC1" w:rsidRDefault="00597CC1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597CC1" w:rsidRDefault="00597CC1" w:rsidP="00597CC1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En paramétrant les données de la PAC et en donnant un mode de chauffage à comparer, l’outils Consopac donne une estimation des économies réaliser à l’année.</w:t>
      </w:r>
    </w:p>
    <w:p w:rsidR="00597CC1" w:rsidRDefault="00597CC1" w:rsidP="00597CC1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597CC1" w:rsidRDefault="00597CC1" w:rsidP="00597CC1">
      <w:pPr>
        <w:spacing w:after="0"/>
        <w:ind w:left="2268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Remarque : les coûts diffèrent avec la méthode précédente (surement des prix du kWh différents)</w:t>
      </w:r>
    </w:p>
    <w:p w:rsidR="00597CC1" w:rsidRDefault="00597CC1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597CC1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ab/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ab/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ab/>
        <w:t>Onglet « Instal »</w:t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ab/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ab/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ab/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ab/>
      </w: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ab/>
        <w:t>Onglet « Rapport »</w:t>
      </w:r>
    </w:p>
    <w:p w:rsidR="00597CC1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noProof/>
          <w:color w:val="666666"/>
          <w:sz w:val="20"/>
          <w:szCs w:val="20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3518759</wp:posOffset>
            </wp:positionH>
            <wp:positionV relativeFrom="paragraph">
              <wp:posOffset>73623</wp:posOffset>
            </wp:positionV>
            <wp:extent cx="2738905" cy="1159436"/>
            <wp:effectExtent l="19050" t="0" r="429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52904" b="39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905" cy="1159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CC1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noProof/>
          <w:color w:val="666666"/>
          <w:sz w:val="20"/>
          <w:szCs w:val="20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751652</wp:posOffset>
            </wp:positionH>
            <wp:positionV relativeFrom="paragraph">
              <wp:posOffset>142726</wp:posOffset>
            </wp:positionV>
            <wp:extent cx="2167330" cy="2749176"/>
            <wp:effectExtent l="19050" t="0" r="437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330" cy="274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CC1" w:rsidRDefault="00597CC1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597CC1" w:rsidRDefault="00597CC1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597CC1" w:rsidRDefault="00597CC1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noProof/>
          <w:color w:val="666666"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64770</wp:posOffset>
            </wp:positionV>
            <wp:extent cx="2616200" cy="1816735"/>
            <wp:effectExtent l="19050" t="0" r="0" b="0"/>
            <wp:wrapNone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2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Default="00AE2D4C" w:rsidP="00597CC1">
      <w:pPr>
        <w:spacing w:after="0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</w:p>
    <w:p w:rsidR="00AE2D4C" w:rsidRPr="005E732E" w:rsidRDefault="00AE2D4C" w:rsidP="00AE2D4C">
      <w:pPr>
        <w:spacing w:after="0"/>
        <w:ind w:left="2127"/>
        <w:jc w:val="both"/>
        <w:rPr>
          <w:rFonts w:ascii="Times New Roman" w:eastAsia="Times New Roman" w:hAnsi="Times New Roman"/>
          <w:color w:val="666666"/>
          <w:sz w:val="20"/>
          <w:szCs w:val="20"/>
          <w:lang w:eastAsia="fr-FR"/>
        </w:rPr>
      </w:pPr>
      <w:r>
        <w:rPr>
          <w:rFonts w:ascii="Times New Roman" w:eastAsia="Times New Roman" w:hAnsi="Times New Roman"/>
          <w:color w:val="666666"/>
          <w:sz w:val="20"/>
          <w:szCs w:val="20"/>
          <w:lang w:eastAsia="fr-FR"/>
        </w:rPr>
        <w:t>La comparaison a été réalisé avec des convecteurs électriques et une chaudière à condensation.</w:t>
      </w:r>
    </w:p>
    <w:p w:rsidR="007231D8" w:rsidRDefault="007231D8" w:rsidP="001D05A4">
      <w:pPr>
        <w:ind w:left="567"/>
        <w:rPr>
          <w:b/>
          <w:color w:val="365F91" w:themeColor="accent1" w:themeShade="BF"/>
          <w:sz w:val="24"/>
        </w:rPr>
      </w:pPr>
    </w:p>
    <w:p w:rsidR="007231D8" w:rsidRDefault="007231D8" w:rsidP="001D05A4">
      <w:pPr>
        <w:ind w:left="567"/>
        <w:rPr>
          <w:b/>
          <w:color w:val="365F91" w:themeColor="accent1" w:themeShade="BF"/>
          <w:sz w:val="24"/>
        </w:rPr>
      </w:pPr>
    </w:p>
    <w:sectPr w:rsidR="007231D8" w:rsidSect="00051448">
      <w:headerReference w:type="default" r:id="rId10"/>
      <w:footerReference w:type="default" r:id="rId11"/>
      <w:pgSz w:w="11900" w:h="16840"/>
      <w:pgMar w:top="3402" w:right="851" w:bottom="851" w:left="851" w:header="567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088" w:rsidRDefault="00254088">
      <w:r>
        <w:separator/>
      </w:r>
    </w:p>
  </w:endnote>
  <w:endnote w:type="continuationSeparator" w:id="1">
    <w:p w:rsidR="00254088" w:rsidRDefault="00254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1F" w:rsidRDefault="00122F1F" w:rsidP="00051448">
    <w:pPr>
      <w:pStyle w:val="Pieddepage"/>
      <w:jc w:val="right"/>
    </w:pPr>
    <w:r>
      <w:t>STI</w:t>
    </w:r>
    <w:r w:rsidRPr="00064066">
      <w:rPr>
        <w:color w:val="FF0000"/>
      </w:rPr>
      <w:t>2</w:t>
    </w:r>
    <w:r>
      <w:t>D-M1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088" w:rsidRDefault="00254088">
      <w:r>
        <w:separator/>
      </w:r>
    </w:p>
  </w:footnote>
  <w:footnote w:type="continuationSeparator" w:id="1">
    <w:p w:rsidR="00254088" w:rsidRDefault="00254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1F" w:rsidRDefault="003A3ED6" w:rsidP="00051448">
    <w:pPr>
      <w:spacing w:after="0"/>
      <w:jc w:val="right"/>
      <w:rPr>
        <w:b/>
        <w:color w:val="FFFFFF" w:themeColor="background1"/>
        <w:sz w:val="24"/>
      </w:rPr>
    </w:pPr>
    <w:bookmarkStart w:id="0" w:name="OLE_LINK1"/>
    <w:r>
      <w:rPr>
        <w:b/>
        <w:noProof/>
        <w:color w:val="FFFFFF" w:themeColor="background1"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-554990</wp:posOffset>
          </wp:positionH>
          <wp:positionV relativeFrom="paragraph">
            <wp:posOffset>-359410</wp:posOffset>
          </wp:positionV>
          <wp:extent cx="7574280" cy="2164080"/>
          <wp:effectExtent l="19050" t="0" r="7620" b="7620"/>
          <wp:wrapNone/>
          <wp:docPr id="7" name="Image 7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2164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8257C">
      <w:rPr>
        <w:b/>
        <w:noProof/>
        <w:color w:val="FFFFFF" w:themeColor="background1"/>
        <w:sz w:val="24"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328.3pt;margin-top:-29.35pt;width:211pt;height:29pt;z-index:251658240;mso-position-horizontal-relative:text;mso-position-vertical-relative:text" filled="f" stroked="f">
          <v:fill o:detectmouseclick="t"/>
          <v:textbox inset=".5mm,7.2pt,.5mm,7.2pt">
            <w:txbxContent>
              <w:p w:rsidR="00122F1F" w:rsidRPr="00F91997" w:rsidRDefault="00122F1F" w:rsidP="00051448">
                <w:pPr>
                  <w:spacing w:after="0"/>
                  <w:jc w:val="center"/>
                  <w:rPr>
                    <w:rFonts w:ascii="Verdana" w:hAnsi="Verdana"/>
                    <w:b/>
                    <w:i/>
                    <w:color w:val="FF0000"/>
                    <w:sz w:val="24"/>
                  </w:rPr>
                </w:pPr>
                <w:r w:rsidRPr="00F91997">
                  <w:rPr>
                    <w:rFonts w:ascii="Verdana" w:hAnsi="Verdana"/>
                    <w:b/>
                    <w:i/>
                    <w:color w:val="FF0000"/>
                    <w:sz w:val="24"/>
                  </w:rPr>
                  <w:t>Formation des enseignants</w:t>
                </w:r>
              </w:p>
              <w:p w:rsidR="00122F1F" w:rsidRPr="00F91997" w:rsidRDefault="00122F1F">
                <w:pPr>
                  <w:rPr>
                    <w:i/>
                    <w:color w:val="FF0000"/>
                  </w:rPr>
                </w:pPr>
              </w:p>
            </w:txbxContent>
          </v:textbox>
        </v:shape>
      </w:pict>
    </w:r>
    <w:bookmarkEnd w:id="0"/>
  </w:p>
  <w:p w:rsidR="00122F1F" w:rsidRDefault="00122F1F" w:rsidP="00051448">
    <w:pPr>
      <w:spacing w:after="0"/>
      <w:jc w:val="right"/>
      <w:rPr>
        <w:b/>
        <w:color w:val="FFFFFF" w:themeColor="background1"/>
        <w:sz w:val="24"/>
      </w:rPr>
    </w:pPr>
  </w:p>
  <w:p w:rsidR="00122F1F" w:rsidRDefault="00122F1F" w:rsidP="00051448">
    <w:pPr>
      <w:spacing w:after="0"/>
      <w:jc w:val="right"/>
      <w:rPr>
        <w:b/>
        <w:color w:val="FFFFFF" w:themeColor="background1"/>
        <w:sz w:val="24"/>
      </w:rPr>
    </w:pPr>
  </w:p>
  <w:p w:rsidR="00122F1F" w:rsidRDefault="00122F1F" w:rsidP="00051448">
    <w:pPr>
      <w:spacing w:after="0"/>
      <w:jc w:val="right"/>
      <w:rPr>
        <w:b/>
        <w:color w:val="FFFFFF" w:themeColor="background1"/>
        <w:sz w:val="24"/>
      </w:rPr>
    </w:pPr>
  </w:p>
  <w:p w:rsidR="00122F1F" w:rsidRDefault="00122F1F" w:rsidP="00051448">
    <w:pPr>
      <w:spacing w:after="0"/>
      <w:jc w:val="right"/>
      <w:rPr>
        <w:b/>
        <w:color w:val="FFFFFF" w:themeColor="background1"/>
        <w:sz w:val="24"/>
      </w:rPr>
    </w:pPr>
  </w:p>
  <w:p w:rsidR="00122F1F" w:rsidRDefault="00122F1F" w:rsidP="00051448">
    <w:pPr>
      <w:spacing w:after="0"/>
      <w:jc w:val="right"/>
      <w:rPr>
        <w:b/>
        <w:color w:val="FFFFFF" w:themeColor="background1"/>
        <w:sz w:val="24"/>
      </w:rPr>
    </w:pPr>
  </w:p>
  <w:p w:rsidR="00122F1F" w:rsidRDefault="00122F1F" w:rsidP="00051448">
    <w:pPr>
      <w:spacing w:after="0"/>
      <w:jc w:val="right"/>
      <w:rPr>
        <w:b/>
        <w:color w:val="FFFFFF" w:themeColor="background1"/>
        <w:sz w:val="24"/>
      </w:rPr>
    </w:pPr>
  </w:p>
  <w:p w:rsidR="00122F1F" w:rsidRDefault="00122F1F" w:rsidP="00051448">
    <w:pPr>
      <w:spacing w:after="0"/>
      <w:jc w:val="right"/>
      <w:rPr>
        <w:b/>
        <w:color w:val="FFFFFF" w:themeColor="background1"/>
        <w:sz w:val="24"/>
      </w:rPr>
    </w:pPr>
  </w:p>
  <w:p w:rsidR="00122F1F" w:rsidRDefault="00122F1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5119"/>
    <w:multiLevelType w:val="hybridMultilevel"/>
    <w:tmpl w:val="054A32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758CB"/>
    <w:multiLevelType w:val="hybridMultilevel"/>
    <w:tmpl w:val="D1B6F348"/>
    <w:lvl w:ilvl="0" w:tplc="EFFE824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40181977"/>
    <w:multiLevelType w:val="hybridMultilevel"/>
    <w:tmpl w:val="660A0F80"/>
    <w:lvl w:ilvl="0" w:tplc="AEDCB29A">
      <w:start w:val="1"/>
      <w:numFmt w:val="lowerLetter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782" w:hanging="360"/>
      </w:pPr>
    </w:lvl>
    <w:lvl w:ilvl="2" w:tplc="040C001B" w:tentative="1">
      <w:start w:val="1"/>
      <w:numFmt w:val="lowerRoman"/>
      <w:lvlText w:val="%3."/>
      <w:lvlJc w:val="right"/>
      <w:pPr>
        <w:ind w:left="3502" w:hanging="180"/>
      </w:pPr>
    </w:lvl>
    <w:lvl w:ilvl="3" w:tplc="040C000F" w:tentative="1">
      <w:start w:val="1"/>
      <w:numFmt w:val="decimal"/>
      <w:lvlText w:val="%4."/>
      <w:lvlJc w:val="left"/>
      <w:pPr>
        <w:ind w:left="4222" w:hanging="360"/>
      </w:pPr>
    </w:lvl>
    <w:lvl w:ilvl="4" w:tplc="040C0019" w:tentative="1">
      <w:start w:val="1"/>
      <w:numFmt w:val="lowerLetter"/>
      <w:lvlText w:val="%5."/>
      <w:lvlJc w:val="left"/>
      <w:pPr>
        <w:ind w:left="4942" w:hanging="360"/>
      </w:pPr>
    </w:lvl>
    <w:lvl w:ilvl="5" w:tplc="040C001B" w:tentative="1">
      <w:start w:val="1"/>
      <w:numFmt w:val="lowerRoman"/>
      <w:lvlText w:val="%6."/>
      <w:lvlJc w:val="right"/>
      <w:pPr>
        <w:ind w:left="5662" w:hanging="180"/>
      </w:pPr>
    </w:lvl>
    <w:lvl w:ilvl="6" w:tplc="040C000F" w:tentative="1">
      <w:start w:val="1"/>
      <w:numFmt w:val="decimal"/>
      <w:lvlText w:val="%7."/>
      <w:lvlJc w:val="left"/>
      <w:pPr>
        <w:ind w:left="6382" w:hanging="360"/>
      </w:pPr>
    </w:lvl>
    <w:lvl w:ilvl="7" w:tplc="040C0019" w:tentative="1">
      <w:start w:val="1"/>
      <w:numFmt w:val="lowerLetter"/>
      <w:lvlText w:val="%8."/>
      <w:lvlJc w:val="left"/>
      <w:pPr>
        <w:ind w:left="7102" w:hanging="360"/>
      </w:pPr>
    </w:lvl>
    <w:lvl w:ilvl="8" w:tplc="040C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>
    <w:nsid w:val="4FA36853"/>
    <w:multiLevelType w:val="hybridMultilevel"/>
    <w:tmpl w:val="4ABEE124"/>
    <w:lvl w:ilvl="0" w:tplc="C56E96CA">
      <w:numFmt w:val="bullet"/>
      <w:lvlText w:val="-"/>
      <w:lvlJc w:val="left"/>
      <w:pPr>
        <w:ind w:left="1065" w:hanging="360"/>
      </w:pPr>
      <w:rPr>
        <w:rFonts w:ascii="Arial" w:eastAsia="Calisto M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5BF2271E"/>
    <w:multiLevelType w:val="multilevel"/>
    <w:tmpl w:val="5786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171ED3"/>
    <w:multiLevelType w:val="hybridMultilevel"/>
    <w:tmpl w:val="93FCD07C"/>
    <w:lvl w:ilvl="0" w:tplc="3DD6A4BE">
      <w:start w:val="1"/>
      <w:numFmt w:val="bullet"/>
      <w:lvlText w:val=""/>
      <w:lvlJc w:val="left"/>
      <w:pPr>
        <w:tabs>
          <w:tab w:val="num" w:pos="1333"/>
        </w:tabs>
        <w:ind w:left="1389" w:hanging="113"/>
      </w:pPr>
      <w:rPr>
        <w:rFonts w:ascii="Symbol" w:hAnsi="Symbol" w:hint="default"/>
      </w:rPr>
    </w:lvl>
    <w:lvl w:ilvl="1" w:tplc="E2D006C0">
      <w:start w:val="2"/>
      <w:numFmt w:val="bullet"/>
      <w:lvlText w:val="-"/>
      <w:lvlJc w:val="left"/>
      <w:pPr>
        <w:tabs>
          <w:tab w:val="num" w:pos="2716"/>
        </w:tabs>
        <w:ind w:left="2716" w:hanging="360"/>
      </w:pPr>
      <w:rPr>
        <w:rFonts w:ascii="Arial" w:eastAsia="Calisto MT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stylePaneFormatFilter w:val="3F01"/>
  <w:defaultTabStop w:val="708"/>
  <w:hyphenationZone w:val="425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2530">
      <o:colormenu v:ext="edit" fillcolor="#c9f" strokecolor="purpl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033AA"/>
    <w:rsid w:val="00051448"/>
    <w:rsid w:val="0007363E"/>
    <w:rsid w:val="000F5F01"/>
    <w:rsid w:val="001016A8"/>
    <w:rsid w:val="00122F1F"/>
    <w:rsid w:val="00147899"/>
    <w:rsid w:val="0015134F"/>
    <w:rsid w:val="001D05A4"/>
    <w:rsid w:val="00254088"/>
    <w:rsid w:val="002756A1"/>
    <w:rsid w:val="002936BC"/>
    <w:rsid w:val="002D0B86"/>
    <w:rsid w:val="002D4AE4"/>
    <w:rsid w:val="00337D10"/>
    <w:rsid w:val="00396A14"/>
    <w:rsid w:val="003A3ED6"/>
    <w:rsid w:val="003A5C16"/>
    <w:rsid w:val="003D1790"/>
    <w:rsid w:val="004F0D0F"/>
    <w:rsid w:val="005309D5"/>
    <w:rsid w:val="00597CC1"/>
    <w:rsid w:val="005B0130"/>
    <w:rsid w:val="005D20E2"/>
    <w:rsid w:val="005E732E"/>
    <w:rsid w:val="00644F2F"/>
    <w:rsid w:val="0066424B"/>
    <w:rsid w:val="006941E4"/>
    <w:rsid w:val="006C7D23"/>
    <w:rsid w:val="006D3818"/>
    <w:rsid w:val="007231D8"/>
    <w:rsid w:val="007B391C"/>
    <w:rsid w:val="007E0C5F"/>
    <w:rsid w:val="008033AA"/>
    <w:rsid w:val="0081529E"/>
    <w:rsid w:val="008423FB"/>
    <w:rsid w:val="00856090"/>
    <w:rsid w:val="009016C2"/>
    <w:rsid w:val="0098257C"/>
    <w:rsid w:val="009A2AF7"/>
    <w:rsid w:val="00A518A6"/>
    <w:rsid w:val="00A574A5"/>
    <w:rsid w:val="00AC02F9"/>
    <w:rsid w:val="00AE2D4C"/>
    <w:rsid w:val="00AE7DE8"/>
    <w:rsid w:val="00C54D07"/>
    <w:rsid w:val="00CE7F85"/>
    <w:rsid w:val="00CF6A85"/>
    <w:rsid w:val="00D56760"/>
    <w:rsid w:val="00E8737B"/>
    <w:rsid w:val="00E91A2F"/>
    <w:rsid w:val="00E94EB7"/>
    <w:rsid w:val="00F15A74"/>
    <w:rsid w:val="00FC3F8C"/>
    <w:rsid w:val="00FF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>
      <o:colormenu v:ext="edit" fillcolor="#c9f" strokecolor="purple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sto MT" w:eastAsia="Calisto MT" w:hAnsi="Calisto MT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D8D"/>
    <w:pPr>
      <w:spacing w:after="200"/>
    </w:pPr>
    <w:rPr>
      <w:rFonts w:ascii="Arial" w:hAnsi="Arial"/>
      <w:sz w:val="22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8033AA"/>
    <w:rPr>
      <w:rFonts w:ascii="Arial" w:hAnsi="Arial"/>
      <w:sz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033AA"/>
    <w:rPr>
      <w:rFonts w:ascii="Arial" w:hAnsi="Arial"/>
      <w:sz w:val="22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EF0226"/>
    <w:pPr>
      <w:spacing w:before="120" w:after="0"/>
    </w:pPr>
    <w:rPr>
      <w:rFonts w:ascii="Calisto MT" w:hAnsi="Calisto MT"/>
      <w:b/>
      <w:szCs w:val="22"/>
    </w:rPr>
  </w:style>
  <w:style w:type="paragraph" w:styleId="TM2">
    <w:name w:val="toc 2"/>
    <w:basedOn w:val="Normal"/>
    <w:next w:val="Normal"/>
    <w:autoRedefine/>
    <w:uiPriority w:val="39"/>
    <w:semiHidden/>
    <w:unhideWhenUsed/>
    <w:rsid w:val="00EF0226"/>
    <w:pPr>
      <w:spacing w:after="0"/>
      <w:ind w:left="220"/>
    </w:pPr>
    <w:rPr>
      <w:rFonts w:ascii="Calisto MT" w:hAnsi="Calisto MT"/>
      <w:i/>
      <w:szCs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EF0226"/>
    <w:pPr>
      <w:spacing w:after="0"/>
      <w:ind w:left="440"/>
    </w:pPr>
    <w:rPr>
      <w:rFonts w:ascii="Calisto MT" w:hAnsi="Calisto MT"/>
      <w:szCs w:val="22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EF0226"/>
    <w:pPr>
      <w:spacing w:after="0"/>
      <w:ind w:left="660"/>
    </w:pPr>
    <w:rPr>
      <w:rFonts w:ascii="Calisto MT" w:hAnsi="Calisto MT"/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EF0226"/>
    <w:pPr>
      <w:spacing w:after="0"/>
      <w:ind w:left="880"/>
    </w:pPr>
    <w:rPr>
      <w:rFonts w:ascii="Calisto MT" w:hAnsi="Calisto MT"/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EF0226"/>
    <w:pPr>
      <w:spacing w:after="0"/>
      <w:ind w:left="1100"/>
    </w:pPr>
    <w:rPr>
      <w:rFonts w:ascii="Calisto MT" w:hAnsi="Calisto MT"/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EF0226"/>
    <w:pPr>
      <w:spacing w:after="0"/>
      <w:ind w:left="1320"/>
    </w:pPr>
    <w:rPr>
      <w:rFonts w:ascii="Calisto MT" w:hAnsi="Calisto MT"/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EF0226"/>
    <w:pPr>
      <w:spacing w:after="0"/>
      <w:ind w:left="1540"/>
    </w:pPr>
    <w:rPr>
      <w:rFonts w:ascii="Calisto MT" w:hAnsi="Calisto MT"/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EF0226"/>
    <w:pPr>
      <w:spacing w:after="0"/>
      <w:ind w:left="1760"/>
    </w:pPr>
    <w:rPr>
      <w:rFonts w:ascii="Calisto MT" w:hAnsi="Calisto MT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F6A8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F6A8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44F2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4F2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335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Gabarit formation STI2D</vt:lpstr>
      <vt:lpstr>Gabarit formation STI2D</vt:lpstr>
    </vt:vector>
  </TitlesOfParts>
  <Company>Biloute &amp; Co</Company>
  <LinksUpToDate>false</LinksUpToDate>
  <CharactersWithSpaces>2175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 formation STI2D</dc:title>
  <dc:creator>Philippe Fichou</dc:creator>
  <cp:lastModifiedBy>biloute</cp:lastModifiedBy>
  <cp:revision>18</cp:revision>
  <dcterms:created xsi:type="dcterms:W3CDTF">2011-02-23T10:16:00Z</dcterms:created>
  <dcterms:modified xsi:type="dcterms:W3CDTF">2011-03-28T19:01:00Z</dcterms:modified>
</cp:coreProperties>
</file>