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10556"/>
      </w:tblGrid>
      <w:tr w:rsidR="00EC1F66" w:rsidTr="00EC1F66">
        <w:trPr>
          <w:tblCellSpacing w:w="15" w:type="dxa"/>
        </w:trPr>
        <w:tc>
          <w:tcPr>
            <w:tcW w:w="4967" w:type="pct"/>
            <w:tcBorders>
              <w:top w:val="nil"/>
              <w:left w:val="nil"/>
              <w:bottom w:val="nil"/>
              <w:right w:val="nil"/>
            </w:tcBorders>
            <w:vAlign w:val="center"/>
            <w:hideMark/>
          </w:tcPr>
          <w:p w:rsidR="00EC1F66" w:rsidRDefault="00EC1F66">
            <w:pPr>
              <w:pStyle w:val="Titre2"/>
              <w:jc w:val="center"/>
              <w:rPr>
                <w:rFonts w:eastAsia="Times New Roman"/>
              </w:rPr>
            </w:pPr>
            <w:r>
              <w:rPr>
                <w:rFonts w:eastAsia="Times New Roman"/>
              </w:rPr>
              <w:t>Installation comptage énergie TGBT</w:t>
            </w:r>
          </w:p>
          <w:p w:rsidR="00EC1F66" w:rsidRDefault="00EC1F66">
            <w:pPr>
              <w:pStyle w:val="Titre5"/>
              <w:jc w:val="center"/>
              <w:rPr>
                <w:rFonts w:eastAsia="Times New Roman"/>
              </w:rPr>
            </w:pPr>
            <w:r>
              <w:rPr>
                <w:rFonts w:eastAsia="Times New Roman"/>
              </w:rPr>
              <w:t>Créée le 22/05/2018</w:t>
            </w:r>
          </w:p>
          <w:p w:rsidR="00EC1F66" w:rsidRDefault="00EC1F66">
            <w:pPr>
              <w:pStyle w:val="NormalWeb"/>
              <w:jc w:val="center"/>
            </w:pPr>
            <w:r>
              <w:t>Nature de la situation de formation : Formative</w:t>
            </w:r>
          </w:p>
        </w:tc>
      </w:tr>
    </w:tbl>
    <w:p w:rsidR="00000000" w:rsidRDefault="004919F9">
      <w:pPr>
        <w:rPr>
          <w:rFonts w:eastAsia="Times New Roman"/>
          <w:vanish/>
        </w:rPr>
      </w:pPr>
    </w:p>
    <w:tbl>
      <w:tblPr>
        <w:tblW w:w="5000" w:type="pct"/>
        <w:tblCellSpacing w:w="0" w:type="dxa"/>
        <w:tblCellMar>
          <w:top w:w="30" w:type="dxa"/>
          <w:left w:w="30" w:type="dxa"/>
          <w:bottom w:w="30" w:type="dxa"/>
          <w:right w:w="30" w:type="dxa"/>
        </w:tblCellMar>
        <w:tblLook w:val="04A0"/>
      </w:tblPr>
      <w:tblGrid>
        <w:gridCol w:w="5263"/>
        <w:gridCol w:w="2105"/>
        <w:gridCol w:w="3158"/>
      </w:tblGrid>
      <w:tr w:rsidR="00000000">
        <w:trPr>
          <w:tblCellSpacing w:w="0" w:type="dxa"/>
        </w:trPr>
        <w:tc>
          <w:tcPr>
            <w:tcW w:w="3500" w:type="pct"/>
            <w:gridSpan w:val="2"/>
            <w:shd w:val="clear" w:color="auto" w:fill="006978"/>
            <w:vAlign w:val="center"/>
            <w:hideMark/>
          </w:tcPr>
          <w:p w:rsidR="00000000" w:rsidRDefault="004919F9">
            <w:pPr>
              <w:rPr>
                <w:rFonts w:eastAsia="Times New Roman"/>
              </w:rPr>
            </w:pPr>
            <w:r>
              <w:rPr>
                <w:rFonts w:ascii="Verdana" w:eastAsia="Times New Roman" w:hAnsi="Verdana"/>
                <w:b/>
                <w:bCs/>
                <w:color w:val="FFFFFF"/>
                <w:sz w:val="20"/>
                <w:szCs w:val="20"/>
              </w:rPr>
              <w:t>Description du contexte/M</w:t>
            </w:r>
            <w:r>
              <w:rPr>
                <w:rFonts w:ascii="Verdana" w:eastAsia="Times New Roman" w:hAnsi="Verdana"/>
                <w:b/>
                <w:bCs/>
                <w:color w:val="FFFFFF"/>
                <w:sz w:val="20"/>
                <w:szCs w:val="20"/>
              </w:rPr>
              <w:t>ise en situation professionnelle</w:t>
            </w:r>
          </w:p>
        </w:tc>
        <w:tc>
          <w:tcPr>
            <w:tcW w:w="1500" w:type="pct"/>
            <w:shd w:val="clear" w:color="auto" w:fill="006978"/>
            <w:vAlign w:val="center"/>
            <w:hideMark/>
          </w:tcPr>
          <w:p w:rsidR="00000000" w:rsidRDefault="004919F9">
            <w:pPr>
              <w:rPr>
                <w:rFonts w:eastAsia="Times New Roman"/>
              </w:rPr>
            </w:pPr>
            <w:r>
              <w:rPr>
                <w:rFonts w:ascii="Verdana" w:eastAsia="Times New Roman" w:hAnsi="Verdana"/>
                <w:b/>
                <w:bCs/>
                <w:color w:val="FFFFFF"/>
                <w:sz w:val="20"/>
                <w:szCs w:val="20"/>
              </w:rPr>
              <w:t>Secteurs d'activité</w:t>
            </w:r>
          </w:p>
        </w:tc>
      </w:tr>
      <w:tr w:rsidR="00000000">
        <w:trPr>
          <w:tblCellSpacing w:w="0" w:type="dxa"/>
        </w:trPr>
        <w:tc>
          <w:tcPr>
            <w:tcW w:w="3500" w:type="pct"/>
            <w:gridSpan w:val="2"/>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A la demande du client CHEVR'HOTEL et dans l'objectif d'améliorer la performance énergétique des espaces techniques, il est demandé à l'entreprise MAIN'ELEC de procéder à l'installation de compteurs d'énergie sur les départs éclairage et chauffage du TGBT</w:t>
            </w:r>
          </w:p>
        </w:tc>
        <w:tc>
          <w:tcPr>
            <w:tcW w:w="1500" w:type="pct"/>
            <w:tcBorders>
              <w:top w:val="nil"/>
              <w:left w:val="nil"/>
              <w:bottom w:val="nil"/>
              <w:right w:val="nil"/>
            </w:tcBorders>
            <w:tcMar>
              <w:top w:w="0" w:type="dxa"/>
              <w:left w:w="0" w:type="dxa"/>
              <w:bottom w:w="0" w:type="dxa"/>
              <w:right w:w="0" w:type="dxa"/>
            </w:tcMar>
            <w:vAlign w:val="center"/>
            <w:hideMark/>
          </w:tcPr>
          <w:p w:rsidR="00000000" w:rsidRDefault="004919F9">
            <w:pPr>
              <w:pStyle w:val="NormalWeb"/>
              <w:spacing w:after="0" w:afterAutospacing="0"/>
            </w:pPr>
            <w:r>
              <w:rPr>
                <w:rFonts w:ascii="MS Mincho" w:eastAsia="MS Mincho" w:hAnsi="MS Mincho" w:cs="MS Mincho" w:hint="eastAsia"/>
              </w:rPr>
              <w:t>☐</w:t>
            </w:r>
            <w:r>
              <w:t xml:space="preserve"> Réseaux </w:t>
            </w:r>
          </w:p>
          <w:p w:rsidR="00000000" w:rsidRDefault="004919F9">
            <w:pPr>
              <w:pStyle w:val="NormalWeb"/>
              <w:spacing w:after="0" w:afterAutospacing="0"/>
            </w:pPr>
            <w:r>
              <w:rPr>
                <w:rFonts w:ascii="MS Mincho" w:eastAsia="MS Mincho" w:hAnsi="MS Mincho" w:cs="MS Mincho" w:hint="eastAsia"/>
              </w:rPr>
              <w:t>☐</w:t>
            </w:r>
            <w:r>
              <w:t xml:space="preserve"> Infrastructures </w:t>
            </w:r>
          </w:p>
          <w:p w:rsidR="00000000" w:rsidRDefault="004919F9">
            <w:pPr>
              <w:pStyle w:val="NormalWeb"/>
              <w:spacing w:after="0" w:afterAutospacing="0"/>
            </w:pPr>
            <w:r>
              <w:rPr>
                <w:rFonts w:ascii="MS Mincho" w:eastAsia="MS Mincho" w:hAnsi="MS Mincho" w:cs="MS Mincho" w:hint="eastAsia"/>
              </w:rPr>
              <w:t>☐</w:t>
            </w:r>
            <w:r>
              <w:t xml:space="preserve"> Quartiers </w:t>
            </w:r>
          </w:p>
          <w:p w:rsidR="00000000" w:rsidRDefault="004919F9">
            <w:pPr>
              <w:pStyle w:val="NormalWeb"/>
              <w:spacing w:after="0" w:afterAutospacing="0"/>
            </w:pPr>
            <w:r>
              <w:rPr>
                <w:rFonts w:ascii="MS Mincho" w:eastAsia="MS Mincho" w:hAnsi="MS Mincho" w:cs="MS Mincho" w:hint="eastAsia"/>
              </w:rPr>
              <w:t>☑</w:t>
            </w:r>
            <w:r>
              <w:t xml:space="preserve"> Bâtiments </w:t>
            </w:r>
          </w:p>
          <w:p w:rsidR="00000000" w:rsidRDefault="004919F9">
            <w:pPr>
              <w:pStyle w:val="NormalWeb"/>
              <w:spacing w:after="0" w:afterAutospacing="0"/>
            </w:pPr>
            <w:r>
              <w:rPr>
                <w:rFonts w:ascii="MS Mincho" w:eastAsia="MS Mincho" w:hAnsi="MS Mincho" w:cs="MS Mincho" w:hint="eastAsia"/>
              </w:rPr>
              <w:t>☐</w:t>
            </w:r>
            <w:r>
              <w:t xml:space="preserve"> Industrie </w:t>
            </w:r>
          </w:p>
          <w:p w:rsidR="00000000" w:rsidRDefault="004919F9">
            <w:pPr>
              <w:pStyle w:val="NormalWeb"/>
              <w:spacing w:after="0" w:afterAutospacing="0"/>
            </w:pPr>
            <w:r>
              <w:rPr>
                <w:rFonts w:ascii="MS Mincho" w:eastAsia="MS Mincho" w:hAnsi="MS Mincho" w:cs="MS Mincho" w:hint="eastAsia"/>
              </w:rPr>
              <w:t>☐</w:t>
            </w:r>
            <w:r>
              <w:t xml:space="preserve"> Systèmes énergétiques </w:t>
            </w:r>
          </w:p>
        </w:tc>
      </w:tr>
      <w:tr w:rsidR="00000000">
        <w:trPr>
          <w:tblCellSpacing w:w="0" w:type="dxa"/>
        </w:trPr>
        <w:tc>
          <w:tcPr>
            <w:tcW w:w="2500" w:type="pct"/>
            <w:shd w:val="clear" w:color="auto" w:fill="006978"/>
            <w:vAlign w:val="center"/>
            <w:hideMark/>
          </w:tcPr>
          <w:p w:rsidR="00000000" w:rsidRDefault="004919F9">
            <w:pPr>
              <w:rPr>
                <w:rFonts w:eastAsia="Times New Roman"/>
              </w:rPr>
            </w:pPr>
            <w:r>
              <w:rPr>
                <w:rFonts w:ascii="Verdana" w:eastAsia="Times New Roman" w:hAnsi="Verdana"/>
                <w:b/>
                <w:bCs/>
                <w:color w:val="FFFFFF"/>
                <w:sz w:val="20"/>
                <w:szCs w:val="20"/>
              </w:rPr>
              <w:t>Problématique professionnelle</w:t>
            </w:r>
          </w:p>
        </w:tc>
        <w:tc>
          <w:tcPr>
            <w:tcW w:w="2500" w:type="pct"/>
            <w:gridSpan w:val="2"/>
            <w:shd w:val="clear" w:color="auto" w:fill="006978"/>
            <w:vAlign w:val="center"/>
            <w:hideMark/>
          </w:tcPr>
          <w:p w:rsidR="00000000" w:rsidRDefault="004919F9">
            <w:pPr>
              <w:rPr>
                <w:rFonts w:eastAsia="Times New Roman"/>
              </w:rPr>
            </w:pPr>
            <w:r>
              <w:rPr>
                <w:rFonts w:ascii="Verdana" w:eastAsia="Times New Roman" w:hAnsi="Verdana"/>
                <w:b/>
                <w:bCs/>
                <w:color w:val="FFFFFF"/>
                <w:sz w:val="20"/>
                <w:szCs w:val="20"/>
              </w:rPr>
              <w:t>Ressources, matériels et/ou logiciels utilisés</w:t>
            </w:r>
          </w:p>
        </w:tc>
      </w:tr>
      <w:tr w:rsidR="00000000">
        <w:trPr>
          <w:tblCellSpacing w:w="0" w:type="dxa"/>
        </w:trPr>
        <w:tc>
          <w:tcPr>
            <w:tcW w:w="0" w:type="auto"/>
            <w:vAlign w:val="center"/>
            <w:hideMark/>
          </w:tcPr>
          <w:p w:rsidR="00000000" w:rsidRDefault="004919F9">
            <w:pPr>
              <w:rPr>
                <w:rFonts w:eastAsia="Times New Roman"/>
              </w:rPr>
            </w:pPr>
            <w:r>
              <w:rPr>
                <w:rFonts w:eastAsia="Times New Roman"/>
              </w:rPr>
              <w:t xml:space="preserve">Répondre </w:t>
            </w:r>
            <w:proofErr w:type="gramStart"/>
            <w:r>
              <w:rPr>
                <w:rFonts w:eastAsia="Times New Roman"/>
              </w:rPr>
              <w:t>aux problématique</w:t>
            </w:r>
            <w:proofErr w:type="gramEnd"/>
            <w:r>
              <w:rPr>
                <w:rFonts w:eastAsia="Times New Roman"/>
              </w:rPr>
              <w:t xml:space="preserve"> sur la performance énergétique et la mesure de l'énergie. Assurer une continuité de service des autres départs du TGBT, notamment le local de gestion des alarmes, les cuisines centrale et la chambre froide. L'apprenant est BR et </w:t>
            </w:r>
            <w:r>
              <w:rPr>
                <w:rFonts w:eastAsia="Times New Roman"/>
              </w:rPr>
              <w:t>procède à sa propre consignation.</w:t>
            </w:r>
          </w:p>
        </w:tc>
        <w:tc>
          <w:tcPr>
            <w:tcW w:w="0" w:type="auto"/>
            <w:gridSpan w:val="2"/>
            <w:vAlign w:val="center"/>
            <w:hideMark/>
          </w:tcPr>
          <w:p w:rsidR="00000000" w:rsidRDefault="004919F9">
            <w:pPr>
              <w:rPr>
                <w:rFonts w:eastAsia="Times New Roman"/>
              </w:rPr>
            </w:pPr>
            <w:r>
              <w:rPr>
                <w:rFonts w:eastAsia="Times New Roman"/>
              </w:rPr>
              <w:t xml:space="preserve">Compteurs d'énergie SCHNEIDER IEM3155 + </w:t>
            </w:r>
            <w:proofErr w:type="spellStart"/>
            <w:r>
              <w:rPr>
                <w:rFonts w:eastAsia="Times New Roman"/>
              </w:rPr>
              <w:t>documentaion</w:t>
            </w:r>
            <w:proofErr w:type="spellEnd"/>
            <w:r>
              <w:rPr>
                <w:rFonts w:eastAsia="Times New Roman"/>
              </w:rPr>
              <w:t xml:space="preserve"> technique + ordre de travail</w:t>
            </w:r>
          </w:p>
        </w:tc>
      </w:tr>
      <w:tr w:rsidR="00000000">
        <w:trPr>
          <w:tblCellSpacing w:w="0" w:type="dxa"/>
        </w:trPr>
        <w:tc>
          <w:tcPr>
            <w:tcW w:w="0" w:type="auto"/>
            <w:gridSpan w:val="3"/>
            <w:shd w:val="clear" w:color="auto" w:fill="006978"/>
            <w:vAlign w:val="center"/>
            <w:hideMark/>
          </w:tcPr>
          <w:p w:rsidR="00000000" w:rsidRDefault="004919F9">
            <w:pPr>
              <w:rPr>
                <w:rFonts w:eastAsia="Times New Roman"/>
              </w:rPr>
            </w:pPr>
            <w:r>
              <w:rPr>
                <w:rFonts w:ascii="Verdana" w:eastAsia="Times New Roman" w:hAnsi="Verdana"/>
                <w:b/>
                <w:bCs/>
                <w:color w:val="FFFFFF"/>
                <w:sz w:val="20"/>
                <w:szCs w:val="20"/>
              </w:rPr>
              <w:t>Tâches professionnelles associées</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1-1/TA 1-1 : prendre connaissance du dossier relatif aux opérations à réaliser, le constituer p</w:t>
            </w:r>
            <w:r>
              <w:rPr>
                <w:rFonts w:eastAsia="Times New Roman"/>
              </w:rPr>
              <w:t>our une opération simple / prendre connaissance du dossier relatif aux opérations à réaliser dans leur environnement</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1-2 : rechercher et expliquer les informations relatives aux opérations et aux conditions d’exécution</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2-1=TA 2-1 : organiser le poste de travail</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2-2=TA 2-2 : implanter, poser, installer les matériels électriques</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2-3=TA 2-3 : câbler, raccorder les matériels électriques</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2-6=TA 2-4 : mener son activité de manière éco-responsable</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3-1/TA 3-1 : réaliser les vérifications, les réglages, les paramétrages, les essais nécessaires à la mise en service de l’installation / réaliser les vérifications, les réglages, les essais nécessaires à la mise en service de l’installation</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3-2/TA 3</w:t>
            </w:r>
            <w:r>
              <w:rPr>
                <w:rFonts w:eastAsia="Times New Roman"/>
              </w:rPr>
              <w:t>-2 : participer à la réception technique et aux levées de réserves de l’installation / participer aux opérations nécessaires aux levées de réserves de l'installation</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5-1 : participer à la mise à jour du dossier technique de l’installation</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5-2=TA 5-1 : échanger sur le déroulement des opérations, expliquer le fonctionnement de l’installation à l’interne et à l’externe</w:t>
            </w:r>
          </w:p>
        </w:tc>
      </w:tr>
      <w:tr w:rsidR="00000000">
        <w:trPr>
          <w:tblCellSpacing w:w="0" w:type="dxa"/>
        </w:trPr>
        <w:tc>
          <w:tcPr>
            <w:tcW w:w="0" w:type="auto"/>
            <w:gridSpan w:val="3"/>
            <w:vAlign w:val="center"/>
            <w:hideMark/>
          </w:tcPr>
          <w:p w:rsidR="00000000" w:rsidRDefault="004919F9">
            <w:pPr>
              <w:rPr>
                <w:rFonts w:eastAsia="Times New Roman"/>
              </w:rPr>
            </w:pPr>
            <w:r>
              <w:rPr>
                <w:rFonts w:eastAsia="Times New Roman"/>
              </w:rPr>
              <w:t>T 5-3 : conseiller le client, lui proposer une prestation complémentaire, une modification ou une amélioration</w:t>
            </w:r>
          </w:p>
        </w:tc>
      </w:tr>
    </w:tbl>
    <w:p w:rsidR="00000000" w:rsidRDefault="004919F9">
      <w:pPr>
        <w:pStyle w:val="NormalWeb"/>
        <w:spacing w:after="0" w:afterAutospacing="0"/>
      </w:pPr>
    </w:p>
    <w:p w:rsidR="00000000" w:rsidRDefault="004919F9">
      <w:pPr>
        <w:pStyle w:val="NormalWeb"/>
        <w:pageBreakBefore/>
      </w:pPr>
      <w:r>
        <w:lastRenderedPageBreak/>
        <w:t xml:space="preserve">Nom : </w:t>
      </w:r>
      <w:r w:rsidR="00EC1F66">
        <w:rPr>
          <w:b/>
          <w:bCs/>
        </w:rPr>
        <w:t xml:space="preserve">             </w:t>
      </w:r>
      <w:r>
        <w:t xml:space="preserve"> Prénom : </w:t>
      </w:r>
      <w:r w:rsidR="00EC1F66">
        <w:rPr>
          <w:b/>
          <w:bCs/>
        </w:rPr>
        <w:t xml:space="preserve">                 </w:t>
      </w:r>
      <w:r>
        <w:t xml:space="preserve"> (</w:t>
      </w:r>
      <w:r w:rsidR="00EC1F66">
        <w:t>T</w:t>
      </w:r>
      <w:r>
        <w:t xml:space="preserve">MELEC) </w:t>
      </w:r>
    </w:p>
    <w:tbl>
      <w:tblPr>
        <w:tblW w:w="5000" w:type="pct"/>
        <w:tblCellSpacing w:w="0" w:type="dxa"/>
        <w:tblCellMar>
          <w:top w:w="30" w:type="dxa"/>
          <w:left w:w="30" w:type="dxa"/>
          <w:bottom w:w="30" w:type="dxa"/>
          <w:right w:w="30" w:type="dxa"/>
        </w:tblCellMar>
        <w:tblLook w:val="04A0"/>
      </w:tblPr>
      <w:tblGrid>
        <w:gridCol w:w="7343"/>
        <w:gridCol w:w="420"/>
        <w:gridCol w:w="420"/>
        <w:gridCol w:w="420"/>
        <w:gridCol w:w="420"/>
        <w:gridCol w:w="420"/>
        <w:gridCol w:w="420"/>
        <w:gridCol w:w="646"/>
      </w:tblGrid>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pStyle w:val="NormalWeb"/>
            </w:pPr>
            <w:r>
              <w:rPr>
                <w:b/>
                <w:bCs/>
              </w:rPr>
              <w:t>Compétence(s) visée(s)</w:t>
            </w:r>
          </w:p>
        </w:tc>
        <w:tc>
          <w:tcPr>
            <w:tcW w:w="420" w:type="dxa"/>
            <w:tcBorders>
              <w:top w:val="single" w:sz="6" w:space="0" w:color="CCCCCC"/>
              <w:left w:val="single" w:sz="6" w:space="0" w:color="CCCCCC"/>
              <w:bottom w:val="single" w:sz="6" w:space="0" w:color="CCCCCC"/>
              <w:right w:val="single" w:sz="6" w:space="0" w:color="CCCCCC"/>
            </w:tcBorders>
            <w:shd w:val="clear" w:color="auto" w:fill="999999"/>
            <w:tcMar>
              <w:top w:w="28" w:type="dxa"/>
              <w:left w:w="28" w:type="dxa"/>
              <w:bottom w:w="28" w:type="dxa"/>
              <w:right w:w="28" w:type="dxa"/>
            </w:tcMar>
            <w:vAlign w:val="center"/>
            <w:hideMark/>
          </w:tcPr>
          <w:p w:rsidR="00000000" w:rsidRDefault="004919F9">
            <w:pPr>
              <w:jc w:val="center"/>
              <w:rPr>
                <w:rFonts w:eastAsia="Times New Roman"/>
              </w:rPr>
            </w:pPr>
            <w:r>
              <w:rPr>
                <w:rFonts w:eastAsia="Times New Roman"/>
              </w:rPr>
              <w:t>A</w:t>
            </w:r>
          </w:p>
        </w:tc>
        <w:tc>
          <w:tcPr>
            <w:tcW w:w="420" w:type="dxa"/>
            <w:tcBorders>
              <w:top w:val="single" w:sz="6" w:space="0" w:color="CCCCCC"/>
              <w:left w:val="single" w:sz="6" w:space="0" w:color="CCCCCC"/>
              <w:bottom w:val="single" w:sz="6" w:space="0" w:color="CCCCCC"/>
              <w:right w:val="single" w:sz="6" w:space="0" w:color="CCCCCC"/>
            </w:tcBorders>
            <w:shd w:val="clear" w:color="auto" w:fill="008ED0"/>
            <w:tcMar>
              <w:top w:w="28" w:type="dxa"/>
              <w:left w:w="28" w:type="dxa"/>
              <w:bottom w:w="28" w:type="dxa"/>
              <w:right w:w="28" w:type="dxa"/>
            </w:tcMar>
            <w:vAlign w:val="center"/>
            <w:hideMark/>
          </w:tcPr>
          <w:p w:rsidR="00000000" w:rsidRDefault="004919F9">
            <w:pPr>
              <w:jc w:val="center"/>
              <w:rPr>
                <w:rFonts w:eastAsia="Times New Roman"/>
              </w:rPr>
            </w:pPr>
            <w:r>
              <w:rPr>
                <w:rFonts w:eastAsia="Times New Roman"/>
              </w:rPr>
              <w:t>NE</w:t>
            </w:r>
          </w:p>
        </w:tc>
        <w:tc>
          <w:tcPr>
            <w:tcW w:w="420" w:type="dxa"/>
            <w:tcBorders>
              <w:top w:val="single" w:sz="6" w:space="0" w:color="CCCCCC"/>
              <w:left w:val="single" w:sz="6" w:space="0" w:color="CCCCCC"/>
              <w:bottom w:val="single" w:sz="6" w:space="0" w:color="CCCCCC"/>
              <w:right w:val="single" w:sz="6" w:space="0" w:color="CCCCCC"/>
            </w:tcBorders>
            <w:shd w:val="clear" w:color="auto" w:fill="C50000"/>
            <w:tcMar>
              <w:top w:w="28" w:type="dxa"/>
              <w:left w:w="28" w:type="dxa"/>
              <w:bottom w:w="28" w:type="dxa"/>
              <w:right w:w="28" w:type="dxa"/>
            </w:tcMar>
            <w:vAlign w:val="center"/>
            <w:hideMark/>
          </w:tcPr>
          <w:p w:rsidR="00000000" w:rsidRDefault="004919F9">
            <w:pPr>
              <w:jc w:val="center"/>
              <w:rPr>
                <w:rFonts w:eastAsia="Times New Roman"/>
              </w:rPr>
            </w:pPr>
            <w:r>
              <w:rPr>
                <w:rFonts w:ascii="Cambria Math" w:eastAsia="Times New Roman" w:hAnsi="Cambria Math" w:cs="Cambria Math"/>
              </w:rPr>
              <w:t>▁</w:t>
            </w:r>
          </w:p>
        </w:tc>
        <w:tc>
          <w:tcPr>
            <w:tcW w:w="420" w:type="dxa"/>
            <w:tcBorders>
              <w:top w:val="single" w:sz="6" w:space="0" w:color="CCCCCC"/>
              <w:left w:val="single" w:sz="6" w:space="0" w:color="CCCCCC"/>
              <w:bottom w:val="single" w:sz="6" w:space="0" w:color="CCCCCC"/>
              <w:right w:val="single" w:sz="6" w:space="0" w:color="CCCCCC"/>
            </w:tcBorders>
            <w:shd w:val="clear" w:color="auto" w:fill="FFA500"/>
            <w:tcMar>
              <w:top w:w="28" w:type="dxa"/>
              <w:left w:w="28" w:type="dxa"/>
              <w:bottom w:w="28" w:type="dxa"/>
              <w:right w:w="28" w:type="dxa"/>
            </w:tcMar>
            <w:vAlign w:val="center"/>
            <w:hideMark/>
          </w:tcPr>
          <w:p w:rsidR="00000000" w:rsidRDefault="004919F9">
            <w:pPr>
              <w:jc w:val="center"/>
              <w:rPr>
                <w:rFonts w:eastAsia="Times New Roman"/>
              </w:rPr>
            </w:pPr>
            <w:r>
              <w:rPr>
                <w:rFonts w:ascii="MS Mincho" w:eastAsia="MS Mincho" w:hAnsi="MS Mincho" w:cs="MS Mincho" w:hint="eastAsia"/>
              </w:rPr>
              <w:t>▃</w:t>
            </w:r>
          </w:p>
        </w:tc>
        <w:tc>
          <w:tcPr>
            <w:tcW w:w="420" w:type="dxa"/>
            <w:tcBorders>
              <w:top w:val="single" w:sz="6" w:space="0" w:color="CCCCCC"/>
              <w:left w:val="single" w:sz="6" w:space="0" w:color="CCCCCC"/>
              <w:bottom w:val="single" w:sz="6" w:space="0" w:color="CCCCCC"/>
              <w:right w:val="single" w:sz="6" w:space="0" w:color="CCCCCC"/>
            </w:tcBorders>
            <w:shd w:val="clear" w:color="auto" w:fill="C2E28B"/>
            <w:tcMar>
              <w:top w:w="28" w:type="dxa"/>
              <w:left w:w="28" w:type="dxa"/>
              <w:bottom w:w="28" w:type="dxa"/>
              <w:right w:w="28" w:type="dxa"/>
            </w:tcMar>
            <w:vAlign w:val="center"/>
            <w:hideMark/>
          </w:tcPr>
          <w:p w:rsidR="00000000" w:rsidRDefault="004919F9">
            <w:pPr>
              <w:jc w:val="center"/>
              <w:rPr>
                <w:rFonts w:eastAsia="Times New Roman"/>
              </w:rPr>
            </w:pPr>
            <w:r>
              <w:rPr>
                <w:rFonts w:ascii="MS Mincho" w:eastAsia="MS Mincho" w:hAnsi="MS Mincho" w:cs="MS Mincho" w:hint="eastAsia"/>
              </w:rPr>
              <w:t>▆</w:t>
            </w:r>
          </w:p>
        </w:tc>
        <w:tc>
          <w:tcPr>
            <w:tcW w:w="420" w:type="dxa"/>
            <w:tcBorders>
              <w:top w:val="single" w:sz="6" w:space="0" w:color="CCCCCC"/>
              <w:left w:val="single" w:sz="6" w:space="0" w:color="CCCCCC"/>
              <w:bottom w:val="single" w:sz="6" w:space="0" w:color="CCCCCC"/>
              <w:right w:val="single" w:sz="6" w:space="0" w:color="CCCCCC"/>
            </w:tcBorders>
            <w:shd w:val="clear" w:color="auto" w:fill="648F1C"/>
            <w:tcMar>
              <w:top w:w="28" w:type="dxa"/>
              <w:left w:w="28" w:type="dxa"/>
              <w:bottom w:w="28" w:type="dxa"/>
              <w:right w:w="28" w:type="dxa"/>
            </w:tcMar>
            <w:vAlign w:val="center"/>
            <w:hideMark/>
          </w:tcPr>
          <w:p w:rsidR="00000000" w:rsidRDefault="004919F9">
            <w:pPr>
              <w:jc w:val="center"/>
              <w:rPr>
                <w:rFonts w:eastAsia="Times New Roman"/>
              </w:rPr>
            </w:pPr>
            <w:r>
              <w:rPr>
                <w:rFonts w:ascii="MS Mincho" w:eastAsia="MS Mincho" w:hAnsi="MS Mincho" w:cs="MS Mincho" w:hint="eastAsia"/>
              </w:rPr>
              <w:t>▉</w:t>
            </w:r>
          </w:p>
        </w:tc>
        <w:tc>
          <w:tcPr>
            <w:tcW w:w="51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r>
              <w:rPr>
                <w:rFonts w:eastAsia="Times New Roman"/>
              </w:rPr>
              <w:t>Notes</w:t>
            </w: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C1-CO1 Analyser les conditions de l'opération et son contexte</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informations nécessaires sont recueillies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contraintes techniques et d'exécution sont repérées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risques professionnels sont évalués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C2-CO2 Organiser l'opération dans son contexte</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activités sont organisées de manière chronologique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règles de santé et de sécurité au travail sont respectées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 poste de travail est organisé avec ergonomie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 poste de travail est approvisionné en matériels, équipements et outillages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 lieu d'activité est restitué quotidiennement propre et en ordre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C3 Définir une installation à l'aide de solutions préétablies</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La solution technique proposée intègre les enjeux d'efficacité énergétique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C4-CO3 Réaliser une installation de manière éco-responsable</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matériels sont posés conformément aux prescriptions et règles de l'art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câblages et les raccordements sont réalisés conformément aux prescriptions et règles de l'art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adaptations techniques nécessaires sont réalisées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déchets sont triés et évacués de manière sélective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 consommable est utilisé sans gaspillage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C5-CO4 Contrôler les grandeurs caractéristiques de l'installation</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mesures (électriques, dimensionnelles, ...) sont réalisées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mesures liées à l'efficacité énergétique sont réalisées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essais adaptés sont réalisés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C6 Régler, paramétrer les matériels de l'installation</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réglages sont réalisés conformément aux prescriptions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C7-CO5 Valider le fonctionnement de l'installation</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 fonctionnement est conforme aux spécifications du cahier des charges (y compris celles liées à l'efficacité énergétique)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opérations nécessaires à la levée de réserves sont faites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C10-CO7 Exploiter les outils numériques dans le contexte professionnel</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applications numériques (logiciels de représentation graphique, de dimensionnement, de chiffrage, ...) sont exploitées avec pertinence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La recherche d'information est faite avec pertinence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C12-CO8 Communiquer entre professionnels sur l'opération</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contraintes techniques sont expliquées / Les contraintes techniques sont remontées à sa hiérarchie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gridSpan w:val="8"/>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b/>
                <w:bCs/>
              </w:rPr>
              <w:t>C13-CO9 Communiquer avec le client/usager sur l'opération</w:t>
            </w: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contraintes techniques d'utilisation et de performances énergétiques de l'installation sont expliquées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usages et le fonctionnement de l'installation sont maîtrisés par le client/l'usager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t xml:space="preserve">Les choix technologiques et économiques sont expliqués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r w:rsidR="00000000">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000000" w:rsidRDefault="004919F9">
            <w:pPr>
              <w:rPr>
                <w:rFonts w:eastAsia="Times New Roman"/>
              </w:rPr>
            </w:pPr>
            <w:r>
              <w:rPr>
                <w:rFonts w:eastAsia="Times New Roman"/>
              </w:rPr>
              <w:lastRenderedPageBreak/>
              <w:t xml:space="preserve">L'état d'avancement de l'opération et ses contraintes sont expliqués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000000" w:rsidRDefault="004919F9">
            <w:pPr>
              <w:rPr>
                <w:rFonts w:eastAsia="Times New Roman"/>
              </w:rPr>
            </w:pPr>
          </w:p>
        </w:tc>
        <w:tc>
          <w:tcPr>
            <w:tcW w:w="420" w:type="dxa"/>
            <w:tcBorders>
              <w:top w:val="single" w:sz="6" w:space="0" w:color="CCCCCC"/>
              <w:left w:val="single" w:sz="6" w:space="0" w:color="CCCCCC"/>
              <w:bottom w:val="single" w:sz="6" w:space="0" w:color="CCCCCC"/>
              <w:right w:val="single" w:sz="6" w:space="0" w:color="CCCCCC"/>
            </w:tcBorders>
            <w:tcMar>
              <w:top w:w="28" w:type="dxa"/>
              <w:left w:w="28" w:type="dxa"/>
              <w:bottom w:w="28" w:type="dxa"/>
              <w:right w:w="28" w:type="dxa"/>
            </w:tcMar>
            <w:vAlign w:val="center"/>
            <w:hideMark/>
          </w:tcPr>
          <w:p w:rsidR="00000000" w:rsidRDefault="004919F9">
            <w:pPr>
              <w:rPr>
                <w:rFonts w:eastAsia="Times New Roman"/>
              </w:rPr>
            </w:pPr>
          </w:p>
        </w:tc>
      </w:tr>
    </w:tbl>
    <w:p w:rsidR="00000000" w:rsidRDefault="004919F9">
      <w:pPr>
        <w:rPr>
          <w:rFonts w:eastAsia="Times New Roman"/>
        </w:rPr>
      </w:pPr>
    </w:p>
    <w:p w:rsidR="004919F9" w:rsidRDefault="004919F9">
      <w:pPr>
        <w:pStyle w:val="NormalWeb"/>
        <w:pBdr>
          <w:top w:val="single" w:sz="6" w:space="1" w:color="CCCCCC"/>
          <w:left w:val="single" w:sz="6" w:space="1" w:color="CCCCCC"/>
          <w:bottom w:val="single" w:sz="6" w:space="1" w:color="CCCCCC"/>
          <w:right w:val="single" w:sz="6" w:space="1" w:color="CCCCCC"/>
        </w:pBdr>
        <w:spacing w:after="240" w:afterAutospacing="0"/>
      </w:pPr>
      <w:r>
        <w:rPr>
          <w:b/>
          <w:bCs/>
        </w:rPr>
        <w:t xml:space="preserve">Observations complémentaires : </w:t>
      </w:r>
      <w:r>
        <w:br/>
      </w:r>
      <w:r>
        <w:br/>
      </w:r>
    </w:p>
    <w:sectPr w:rsidR="004919F9" w:rsidSect="00EC1F6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noPunctuationKerning/>
  <w:characterSpacingControl w:val="doNotCompress"/>
  <w:compat/>
  <w:rsids>
    <w:rsidRoot w:val="00641761"/>
    <w:rsid w:val="004919F9"/>
    <w:rsid w:val="00641761"/>
    <w:rsid w:val="00EC1F6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Titre2">
    <w:name w:val="heading 2"/>
    <w:basedOn w:val="Normal"/>
    <w:link w:val="Titre2Car"/>
    <w:uiPriority w:val="9"/>
    <w:qFormat/>
    <w:pPr>
      <w:spacing w:before="100" w:beforeAutospacing="1" w:after="100" w:afterAutospacing="1"/>
      <w:outlineLvl w:val="1"/>
    </w:pPr>
    <w:rPr>
      <w:b/>
      <w:bCs/>
      <w:sz w:val="36"/>
      <w:szCs w:val="36"/>
    </w:rPr>
  </w:style>
  <w:style w:type="paragraph" w:styleId="Titre5">
    <w:name w:val="heading 5"/>
    <w:basedOn w:val="Normal"/>
    <w:link w:val="Titre5Car"/>
    <w:uiPriority w:val="9"/>
    <w:qFormat/>
    <w:pPr>
      <w:spacing w:before="100" w:beforeAutospacing="1" w:after="100" w:afterAutospacing="1"/>
      <w:outlineLvl w:val="4"/>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Pr>
      <w:rFonts w:asciiTheme="majorHAnsi" w:eastAsiaTheme="majorEastAsia" w:hAnsiTheme="majorHAnsi" w:cstheme="majorBidi"/>
      <w:b/>
      <w:bCs/>
      <w:color w:val="4F81BD" w:themeColor="accent1"/>
      <w:sz w:val="26"/>
      <w:szCs w:val="26"/>
    </w:rPr>
  </w:style>
  <w:style w:type="character" w:customStyle="1" w:styleId="Titre5Car">
    <w:name w:val="Titre 5 Car"/>
    <w:basedOn w:val="Policepardfaut"/>
    <w:link w:val="Titre5"/>
    <w:uiPriority w:val="9"/>
    <w:semiHidden/>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pPr>
      <w:spacing w:before="100" w:beforeAutospacing="1" w:after="100" w:afterAutospacing="1"/>
    </w:pPr>
  </w:style>
  <w:style w:type="paragraph" w:styleId="Textedebulles">
    <w:name w:val="Balloon Text"/>
    <w:basedOn w:val="Normal"/>
    <w:link w:val="TextedebullesCar"/>
    <w:uiPriority w:val="99"/>
    <w:semiHidden/>
    <w:unhideWhenUsed/>
    <w:rsid w:val="00EC1F66"/>
    <w:rPr>
      <w:rFonts w:ascii="Tahoma" w:hAnsi="Tahoma" w:cs="Tahoma"/>
      <w:sz w:val="16"/>
      <w:szCs w:val="16"/>
    </w:rPr>
  </w:style>
  <w:style w:type="character" w:customStyle="1" w:styleId="TextedebullesCar">
    <w:name w:val="Texte de bulles Car"/>
    <w:basedOn w:val="Policepardfaut"/>
    <w:link w:val="Textedebulles"/>
    <w:uiPriority w:val="99"/>
    <w:semiHidden/>
    <w:rsid w:val="00EC1F66"/>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794</Words>
  <Characters>4370</Characters>
  <Application>Microsoft Office Word</Application>
  <DocSecurity>0</DocSecurity>
  <Lines>36</Lines>
  <Paragraphs>10</Paragraphs>
  <ScaleCrop>false</ScaleCrop>
  <Company/>
  <LinksUpToDate>false</LinksUpToDate>
  <CharactersWithSpaces>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2018-05-22T12:57:00Z</dcterms:created>
  <dcterms:modified xsi:type="dcterms:W3CDTF">2018-05-22T12:57:00Z</dcterms:modified>
</cp:coreProperties>
</file>