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65D0" w:rsidRPr="002265D0" w:rsidRDefault="002265D0" w:rsidP="002265D0">
      <w:pPr>
        <w:shd w:val="clear" w:color="auto" w:fill="FFFFFF"/>
        <w:textAlignment w:val="baseline"/>
        <w:rPr>
          <w:rFonts w:ascii="Tahoma" w:eastAsia="Times New Roman" w:hAnsi="Tahoma" w:cs="Tahoma"/>
          <w:color w:val="000000"/>
          <w:sz w:val="20"/>
          <w:szCs w:val="20"/>
          <w:lang w:eastAsia="fr-FR"/>
        </w:rPr>
      </w:pPr>
      <w:r w:rsidRPr="002265D0">
        <w:rPr>
          <w:rFonts w:ascii="Tahoma" w:eastAsia="Times New Roman" w:hAnsi="Tahoma" w:cs="Tahoma"/>
          <w:color w:val="88C13E"/>
          <w:sz w:val="42"/>
          <w:szCs w:val="42"/>
          <w:lang w:eastAsia="fr-FR"/>
        </w:rPr>
        <w:t>Les moteurs électriques</w:t>
      </w:r>
    </w:p>
    <w:p w:rsidR="002265D0" w:rsidRPr="002265D0" w:rsidRDefault="002265D0" w:rsidP="002265D0">
      <w:pPr>
        <w:shd w:val="clear" w:color="auto" w:fill="FFFFFF"/>
        <w:textAlignment w:val="baseline"/>
        <w:outlineLvl w:val="1"/>
        <w:rPr>
          <w:rFonts w:ascii="Tahoma" w:eastAsia="Times New Roman" w:hAnsi="Tahoma" w:cs="Tahoma"/>
          <w:b/>
          <w:bCs/>
          <w:color w:val="88C13E"/>
          <w:lang w:eastAsia="fr-FR"/>
        </w:rPr>
      </w:pPr>
      <w:r w:rsidRPr="002265D0">
        <w:rPr>
          <w:rFonts w:ascii="Tahoma" w:eastAsia="Times New Roman" w:hAnsi="Tahoma" w:cs="Tahoma"/>
          <w:b/>
          <w:bCs/>
          <w:color w:val="88C13E"/>
          <w:lang w:eastAsia="fr-FR"/>
        </w:rPr>
        <w:t>Sommaire du dossier :</w:t>
      </w:r>
    </w:p>
    <w:p w:rsidR="002265D0" w:rsidRPr="002265D0" w:rsidRDefault="002265D0" w:rsidP="002265D0">
      <w:pPr>
        <w:numPr>
          <w:ilvl w:val="0"/>
          <w:numId w:val="1"/>
        </w:numPr>
        <w:pBdr>
          <w:bottom w:val="single" w:sz="6" w:space="6" w:color="EAECEB"/>
        </w:pBdr>
        <w:shd w:val="clear" w:color="auto" w:fill="FFFFFF"/>
        <w:ind w:left="0"/>
        <w:textAlignment w:val="baseline"/>
        <w:rPr>
          <w:rFonts w:ascii="Tahoma" w:eastAsia="Times New Roman" w:hAnsi="Tahoma" w:cs="Tahoma"/>
          <w:color w:val="000000"/>
          <w:sz w:val="20"/>
          <w:szCs w:val="20"/>
          <w:lang w:eastAsia="fr-FR"/>
        </w:rPr>
      </w:pPr>
      <w:r w:rsidRPr="002265D0">
        <w:rPr>
          <w:rFonts w:ascii="Tahoma" w:eastAsia="Times New Roman" w:hAnsi="Tahoma" w:cs="Tahoma"/>
          <w:b/>
          <w:bCs/>
          <w:color w:val="88C13E"/>
          <w:sz w:val="20"/>
          <w:szCs w:val="20"/>
          <w:lang w:eastAsia="fr-FR"/>
        </w:rPr>
        <w:t>Le saviez-vous ?</w:t>
      </w:r>
    </w:p>
    <w:p w:rsidR="002265D0" w:rsidRPr="002265D0" w:rsidRDefault="002265D0" w:rsidP="002265D0">
      <w:pPr>
        <w:numPr>
          <w:ilvl w:val="0"/>
          <w:numId w:val="1"/>
        </w:numPr>
        <w:pBdr>
          <w:bottom w:val="single" w:sz="6" w:space="6" w:color="EAECEB"/>
        </w:pBdr>
        <w:shd w:val="clear" w:color="auto" w:fill="FFFFFF"/>
        <w:ind w:left="0"/>
        <w:textAlignment w:val="baseline"/>
        <w:rPr>
          <w:rFonts w:ascii="Tahoma" w:eastAsia="Times New Roman" w:hAnsi="Tahoma" w:cs="Tahoma"/>
          <w:color w:val="000000"/>
          <w:sz w:val="20"/>
          <w:szCs w:val="20"/>
          <w:lang w:eastAsia="fr-FR"/>
        </w:rPr>
      </w:pPr>
      <w:hyperlink r:id="rId5" w:history="1">
        <w:r w:rsidRPr="002265D0">
          <w:rPr>
            <w:rFonts w:ascii="Tahoma" w:eastAsia="Times New Roman" w:hAnsi="Tahoma" w:cs="Tahoma"/>
            <w:color w:val="535354"/>
            <w:sz w:val="20"/>
            <w:szCs w:val="20"/>
            <w:lang w:eastAsia="fr-FR"/>
          </w:rPr>
          <w:t>Des conseils pour agir</w:t>
        </w:r>
      </w:hyperlink>
    </w:p>
    <w:p w:rsidR="002265D0" w:rsidRPr="002265D0" w:rsidRDefault="002265D0" w:rsidP="002265D0">
      <w:pPr>
        <w:numPr>
          <w:ilvl w:val="0"/>
          <w:numId w:val="1"/>
        </w:numPr>
        <w:shd w:val="clear" w:color="auto" w:fill="FFFFFF"/>
        <w:ind w:left="0"/>
        <w:textAlignment w:val="baseline"/>
        <w:rPr>
          <w:rFonts w:ascii="Tahoma" w:eastAsia="Times New Roman" w:hAnsi="Tahoma" w:cs="Tahoma"/>
          <w:color w:val="000000"/>
          <w:sz w:val="20"/>
          <w:szCs w:val="20"/>
          <w:lang w:eastAsia="fr-FR"/>
        </w:rPr>
      </w:pPr>
      <w:hyperlink r:id="rId6" w:history="1">
        <w:r w:rsidRPr="002265D0">
          <w:rPr>
            <w:rFonts w:ascii="Tahoma" w:eastAsia="Times New Roman" w:hAnsi="Tahoma" w:cs="Tahoma"/>
            <w:color w:val="535354"/>
            <w:sz w:val="20"/>
            <w:szCs w:val="20"/>
            <w:lang w:eastAsia="fr-FR"/>
          </w:rPr>
          <w:t>Outils et liens</w:t>
        </w:r>
      </w:hyperlink>
    </w:p>
    <w:p w:rsidR="002265D0" w:rsidRPr="002265D0" w:rsidRDefault="002265D0" w:rsidP="002265D0">
      <w:pPr>
        <w:spacing w:line="510" w:lineRule="atLeast"/>
        <w:textAlignment w:val="baseline"/>
        <w:outlineLvl w:val="0"/>
        <w:rPr>
          <w:rFonts w:ascii="Times New Roman" w:eastAsia="Times New Roman" w:hAnsi="Times New Roman" w:cs="Times New Roman"/>
          <w:color w:val="998677"/>
          <w:kern w:val="36"/>
          <w:sz w:val="73"/>
          <w:szCs w:val="73"/>
          <w:lang w:eastAsia="fr-FR"/>
        </w:rPr>
      </w:pPr>
      <w:r w:rsidRPr="002265D0">
        <w:rPr>
          <w:rFonts w:ascii="Times New Roman" w:eastAsia="Times New Roman" w:hAnsi="Times New Roman" w:cs="Times New Roman"/>
          <w:color w:val="998677"/>
          <w:kern w:val="36"/>
          <w:sz w:val="73"/>
          <w:szCs w:val="73"/>
          <w:lang w:eastAsia="fr-FR"/>
        </w:rPr>
        <w:t>Le saviez-vous ?</w:t>
      </w:r>
    </w:p>
    <w:p w:rsidR="002265D0" w:rsidRPr="002265D0" w:rsidRDefault="002265D0" w:rsidP="002265D0">
      <w:pPr>
        <w:spacing w:line="336" w:lineRule="atLeast"/>
        <w:textAlignment w:val="baseline"/>
        <w:rPr>
          <w:rFonts w:ascii="Times New Roman" w:eastAsia="Times New Roman" w:hAnsi="Times New Roman" w:cs="Times New Roman"/>
          <w:color w:val="535354"/>
          <w:sz w:val="29"/>
          <w:szCs w:val="29"/>
          <w:lang w:eastAsia="fr-FR"/>
        </w:rPr>
      </w:pPr>
      <w:r w:rsidRPr="002265D0">
        <w:rPr>
          <w:rFonts w:ascii="Times New Roman" w:eastAsia="Times New Roman" w:hAnsi="Times New Roman" w:cs="Times New Roman"/>
          <w:color w:val="535354"/>
          <w:sz w:val="29"/>
          <w:szCs w:val="29"/>
          <w:lang w:eastAsia="fr-FR"/>
        </w:rPr>
        <w:t>Mis à jour le 13/02/2018</w:t>
      </w:r>
    </w:p>
    <w:p w:rsidR="002265D0" w:rsidRPr="002265D0" w:rsidRDefault="002265D0" w:rsidP="002265D0">
      <w:pPr>
        <w:spacing w:line="336" w:lineRule="atLeast"/>
        <w:textAlignment w:val="baseline"/>
        <w:rPr>
          <w:rFonts w:ascii="Times New Roman" w:eastAsia="Times New Roman" w:hAnsi="Times New Roman" w:cs="Times New Roman"/>
          <w:b/>
          <w:bCs/>
          <w:color w:val="000000"/>
          <w:sz w:val="34"/>
          <w:szCs w:val="34"/>
          <w:lang w:eastAsia="fr-FR"/>
        </w:rPr>
      </w:pPr>
      <w:r w:rsidRPr="002265D0">
        <w:rPr>
          <w:rFonts w:ascii="Times New Roman" w:eastAsia="Times New Roman" w:hAnsi="Times New Roman" w:cs="Times New Roman"/>
          <w:b/>
          <w:bCs/>
          <w:color w:val="000000"/>
          <w:sz w:val="34"/>
          <w:szCs w:val="34"/>
          <w:lang w:eastAsia="fr-FR"/>
        </w:rPr>
        <w:t>Les moteurs électriques sont très présents dans l’industrie et y constituent une part conséquente de la consommation d’énergie.</w:t>
      </w:r>
    </w:p>
    <w:p w:rsidR="002265D0" w:rsidRPr="002265D0" w:rsidRDefault="002265D0" w:rsidP="002265D0">
      <w:pPr>
        <w:spacing w:line="390" w:lineRule="atLeast"/>
        <w:textAlignment w:val="baseline"/>
        <w:outlineLvl w:val="1"/>
        <w:rPr>
          <w:rFonts w:ascii="Times New Roman" w:eastAsia="Times New Roman" w:hAnsi="Times New Roman" w:cs="Times New Roman"/>
          <w:b/>
          <w:bCs/>
          <w:color w:val="998677"/>
          <w:sz w:val="27"/>
          <w:szCs w:val="27"/>
          <w:lang w:eastAsia="fr-FR"/>
        </w:rPr>
      </w:pPr>
      <w:r w:rsidRPr="002265D0">
        <w:rPr>
          <w:rFonts w:ascii="Times New Roman" w:eastAsia="Times New Roman" w:hAnsi="Times New Roman" w:cs="Times New Roman"/>
          <w:b/>
          <w:bCs/>
          <w:color w:val="998677"/>
          <w:sz w:val="27"/>
          <w:szCs w:val="27"/>
          <w:lang w:eastAsia="fr-FR"/>
        </w:rPr>
        <w:t>Chiffres relatifs aux moteurs électriques</w:t>
      </w:r>
    </w:p>
    <w:p w:rsidR="002265D0" w:rsidRPr="002265D0" w:rsidRDefault="002265D0" w:rsidP="002265D0">
      <w:pPr>
        <w:spacing w:line="336" w:lineRule="atLeast"/>
        <w:textAlignment w:val="baseline"/>
        <w:rPr>
          <w:rFonts w:ascii="Times New Roman" w:eastAsia="Times New Roman" w:hAnsi="Times New Roman" w:cs="Times New Roman"/>
          <w:color w:val="535354"/>
          <w:sz w:val="34"/>
          <w:szCs w:val="34"/>
          <w:lang w:eastAsia="fr-FR"/>
        </w:rPr>
      </w:pPr>
      <w:r w:rsidRPr="002265D0">
        <w:rPr>
          <w:rFonts w:ascii="Times New Roman" w:eastAsia="Times New Roman" w:hAnsi="Times New Roman" w:cs="Times New Roman"/>
          <w:color w:val="535354"/>
          <w:sz w:val="34"/>
          <w:szCs w:val="34"/>
          <w:lang w:eastAsia="fr-FR"/>
        </w:rPr>
        <w:t>Dans l’industrie, </w:t>
      </w:r>
      <w:r w:rsidRPr="002265D0">
        <w:rPr>
          <w:rFonts w:ascii="Times New Roman" w:eastAsia="Times New Roman" w:hAnsi="Times New Roman" w:cs="Times New Roman"/>
          <w:b/>
          <w:bCs/>
          <w:color w:val="535354"/>
          <w:sz w:val="34"/>
          <w:szCs w:val="34"/>
          <w:lang w:eastAsia="fr-FR"/>
        </w:rPr>
        <w:t>71 % de la consommation électrique est due aux moteurs électriques</w:t>
      </w:r>
      <w:r w:rsidRPr="002265D0">
        <w:rPr>
          <w:rFonts w:ascii="Times New Roman" w:eastAsia="Times New Roman" w:hAnsi="Times New Roman" w:cs="Times New Roman"/>
          <w:color w:val="535354"/>
          <w:sz w:val="34"/>
          <w:szCs w:val="34"/>
          <w:lang w:eastAsia="fr-FR"/>
        </w:rPr>
        <w:t>. Le gisement technique d’économies d’énergie dans les systèmes motorisés est estimé à 19 TWh (source : Énergie et climat - ADEME - 2012).</w:t>
      </w:r>
    </w:p>
    <w:p w:rsidR="002265D0" w:rsidRPr="002265D0" w:rsidRDefault="002265D0" w:rsidP="002265D0">
      <w:pPr>
        <w:spacing w:line="336" w:lineRule="atLeast"/>
        <w:textAlignment w:val="baseline"/>
        <w:rPr>
          <w:rFonts w:ascii="Times New Roman" w:eastAsia="Times New Roman" w:hAnsi="Times New Roman" w:cs="Times New Roman"/>
          <w:color w:val="535354"/>
          <w:sz w:val="34"/>
          <w:szCs w:val="34"/>
          <w:lang w:eastAsia="fr-FR"/>
        </w:rPr>
      </w:pPr>
      <w:r w:rsidRPr="002265D0">
        <w:rPr>
          <w:rFonts w:ascii="Times New Roman" w:eastAsia="Times New Roman" w:hAnsi="Times New Roman" w:cs="Times New Roman"/>
          <w:color w:val="535354"/>
          <w:sz w:val="34"/>
          <w:szCs w:val="34"/>
          <w:lang w:eastAsia="fr-FR"/>
        </w:rPr>
        <w:t>Sur l’ensemble de sa vie, le coût d’achat d’un moteur ne représente que 2,5 %, le coût de maintenance 1,5 % alors que celui de l’électricité consommée est de 96 %. Il est donc très intéressant d’acheter des </w:t>
      </w:r>
      <w:r w:rsidRPr="002265D0">
        <w:rPr>
          <w:rFonts w:ascii="Times New Roman" w:eastAsia="Times New Roman" w:hAnsi="Times New Roman" w:cs="Times New Roman"/>
          <w:b/>
          <w:bCs/>
          <w:color w:val="535354"/>
          <w:sz w:val="34"/>
          <w:szCs w:val="34"/>
          <w:lang w:eastAsia="fr-FR"/>
        </w:rPr>
        <w:t>moteurs à haut rendement</w:t>
      </w:r>
      <w:r w:rsidRPr="002265D0">
        <w:rPr>
          <w:rFonts w:ascii="Times New Roman" w:eastAsia="Times New Roman" w:hAnsi="Times New Roman" w:cs="Times New Roman"/>
          <w:color w:val="535354"/>
          <w:sz w:val="34"/>
          <w:szCs w:val="34"/>
          <w:lang w:eastAsia="fr-FR"/>
        </w:rPr>
        <w:t> qui consommeront moins d’énergie.</w:t>
      </w:r>
    </w:p>
    <w:p w:rsidR="002265D0" w:rsidRPr="002265D0" w:rsidRDefault="002265D0" w:rsidP="002265D0">
      <w:pPr>
        <w:spacing w:line="390" w:lineRule="atLeast"/>
        <w:textAlignment w:val="baseline"/>
        <w:outlineLvl w:val="1"/>
        <w:rPr>
          <w:rFonts w:ascii="Times New Roman" w:eastAsia="Times New Roman" w:hAnsi="Times New Roman" w:cs="Times New Roman"/>
          <w:b/>
          <w:bCs/>
          <w:color w:val="998677"/>
          <w:sz w:val="27"/>
          <w:szCs w:val="27"/>
          <w:lang w:eastAsia="fr-FR"/>
        </w:rPr>
      </w:pPr>
      <w:r w:rsidRPr="002265D0">
        <w:rPr>
          <w:rFonts w:ascii="Times New Roman" w:eastAsia="Times New Roman" w:hAnsi="Times New Roman" w:cs="Times New Roman"/>
          <w:b/>
          <w:bCs/>
          <w:color w:val="998677"/>
          <w:sz w:val="27"/>
          <w:szCs w:val="27"/>
          <w:lang w:eastAsia="fr-FR"/>
        </w:rPr>
        <w:t>Point sur la réglementation</w:t>
      </w:r>
    </w:p>
    <w:p w:rsidR="002265D0" w:rsidRPr="002265D0" w:rsidRDefault="002265D0" w:rsidP="002265D0">
      <w:pPr>
        <w:spacing w:line="336" w:lineRule="atLeast"/>
        <w:textAlignment w:val="baseline"/>
        <w:rPr>
          <w:rFonts w:ascii="Times New Roman" w:eastAsia="Times New Roman" w:hAnsi="Times New Roman" w:cs="Times New Roman"/>
          <w:color w:val="535354"/>
          <w:sz w:val="34"/>
          <w:szCs w:val="34"/>
          <w:lang w:eastAsia="fr-FR"/>
        </w:rPr>
      </w:pPr>
      <w:r w:rsidRPr="002265D0">
        <w:rPr>
          <w:rFonts w:ascii="Times New Roman" w:eastAsia="Times New Roman" w:hAnsi="Times New Roman" w:cs="Times New Roman"/>
          <w:color w:val="535354"/>
          <w:sz w:val="34"/>
          <w:szCs w:val="34"/>
          <w:lang w:eastAsia="fr-FR"/>
        </w:rPr>
        <w:t>La </w:t>
      </w:r>
      <w:hyperlink r:id="rId7" w:tgtFrame="_blank" w:history="1">
        <w:r w:rsidRPr="002265D0">
          <w:rPr>
            <w:rFonts w:ascii="Times New Roman" w:eastAsia="Times New Roman" w:hAnsi="Times New Roman" w:cs="Times New Roman"/>
            <w:color w:val="535354"/>
            <w:sz w:val="34"/>
            <w:szCs w:val="34"/>
            <w:u w:val="single"/>
            <w:lang w:eastAsia="fr-FR"/>
          </w:rPr>
          <w:t>norme CEI 60034-30</w:t>
        </w:r>
      </w:hyperlink>
      <w:r w:rsidRPr="002265D0">
        <w:rPr>
          <w:rFonts w:ascii="Times New Roman" w:eastAsia="Times New Roman" w:hAnsi="Times New Roman" w:cs="Times New Roman"/>
          <w:color w:val="535354"/>
          <w:sz w:val="34"/>
          <w:szCs w:val="34"/>
          <w:lang w:eastAsia="fr-FR"/>
        </w:rPr>
        <w:t> définit les exigences de rendement de moteurs électriques de moins de 375 kW. Ils sont répartis en </w:t>
      </w:r>
      <w:r w:rsidRPr="002265D0">
        <w:rPr>
          <w:rFonts w:ascii="Times New Roman" w:eastAsia="Times New Roman" w:hAnsi="Times New Roman" w:cs="Times New Roman"/>
          <w:b/>
          <w:bCs/>
          <w:color w:val="535354"/>
          <w:sz w:val="34"/>
          <w:szCs w:val="34"/>
          <w:lang w:eastAsia="fr-FR"/>
        </w:rPr>
        <w:t>trois classes : de IE1 à IE3</w:t>
      </w:r>
      <w:r w:rsidRPr="002265D0">
        <w:rPr>
          <w:rFonts w:ascii="Times New Roman" w:eastAsia="Times New Roman" w:hAnsi="Times New Roman" w:cs="Times New Roman"/>
          <w:color w:val="535354"/>
          <w:sz w:val="34"/>
          <w:szCs w:val="34"/>
          <w:lang w:eastAsia="fr-FR"/>
        </w:rPr>
        <w:t> (par ordre croissant de performance). Le </w:t>
      </w:r>
      <w:hyperlink r:id="rId8" w:tgtFrame="_blank" w:history="1">
        <w:r w:rsidRPr="002265D0">
          <w:rPr>
            <w:rFonts w:ascii="Times New Roman" w:eastAsia="Times New Roman" w:hAnsi="Times New Roman" w:cs="Times New Roman"/>
            <w:color w:val="535354"/>
            <w:sz w:val="34"/>
            <w:szCs w:val="34"/>
            <w:u w:val="single"/>
            <w:lang w:eastAsia="fr-FR"/>
          </w:rPr>
          <w:t>règlement européen N°4/2014</w:t>
        </w:r>
      </w:hyperlink>
      <w:r w:rsidRPr="002265D0">
        <w:rPr>
          <w:rFonts w:ascii="Times New Roman" w:eastAsia="Times New Roman" w:hAnsi="Times New Roman" w:cs="Times New Roman"/>
          <w:color w:val="535354"/>
          <w:sz w:val="34"/>
          <w:szCs w:val="34"/>
          <w:lang w:eastAsia="fr-FR"/>
        </w:rPr>
        <w:t> (PDF - 708 Ko) fixe une obligation progressive de performance pour la mise sur le marché des moteurs :</w:t>
      </w:r>
    </w:p>
    <w:p w:rsidR="002265D0" w:rsidRPr="002265D0" w:rsidRDefault="002265D0" w:rsidP="002265D0">
      <w:pPr>
        <w:numPr>
          <w:ilvl w:val="0"/>
          <w:numId w:val="2"/>
        </w:numPr>
        <w:spacing w:line="336" w:lineRule="atLeast"/>
        <w:ind w:left="0"/>
        <w:textAlignment w:val="baseline"/>
        <w:rPr>
          <w:rFonts w:ascii="Times New Roman" w:eastAsia="Times New Roman" w:hAnsi="Times New Roman" w:cs="Times New Roman"/>
          <w:color w:val="535354"/>
          <w:sz w:val="34"/>
          <w:szCs w:val="34"/>
          <w:lang w:eastAsia="fr-FR"/>
        </w:rPr>
      </w:pPr>
      <w:proofErr w:type="gramStart"/>
      <w:r w:rsidRPr="002265D0">
        <w:rPr>
          <w:rFonts w:ascii="Times New Roman" w:eastAsia="Times New Roman" w:hAnsi="Times New Roman" w:cs="Times New Roman"/>
          <w:color w:val="535354"/>
          <w:sz w:val="34"/>
          <w:szCs w:val="34"/>
          <w:lang w:eastAsia="fr-FR"/>
        </w:rPr>
        <w:t>depuis</w:t>
      </w:r>
      <w:proofErr w:type="gramEnd"/>
      <w:r w:rsidRPr="002265D0">
        <w:rPr>
          <w:rFonts w:ascii="Times New Roman" w:eastAsia="Times New Roman" w:hAnsi="Times New Roman" w:cs="Times New Roman"/>
          <w:color w:val="535354"/>
          <w:sz w:val="34"/>
          <w:szCs w:val="34"/>
          <w:lang w:eastAsia="fr-FR"/>
        </w:rPr>
        <w:t xml:space="preserve"> le 16 juin 2011, les moteurs vendus doivent être de classe IE2 au minimum ;</w:t>
      </w:r>
    </w:p>
    <w:p w:rsidR="002265D0" w:rsidRPr="002265D0" w:rsidRDefault="002265D0" w:rsidP="002265D0">
      <w:pPr>
        <w:numPr>
          <w:ilvl w:val="0"/>
          <w:numId w:val="2"/>
        </w:numPr>
        <w:spacing w:line="336" w:lineRule="atLeast"/>
        <w:ind w:left="0"/>
        <w:textAlignment w:val="baseline"/>
        <w:rPr>
          <w:rFonts w:ascii="Times New Roman" w:eastAsia="Times New Roman" w:hAnsi="Times New Roman" w:cs="Times New Roman"/>
          <w:color w:val="535354"/>
          <w:sz w:val="34"/>
          <w:szCs w:val="34"/>
          <w:lang w:eastAsia="fr-FR"/>
        </w:rPr>
      </w:pPr>
      <w:proofErr w:type="gramStart"/>
      <w:r w:rsidRPr="002265D0">
        <w:rPr>
          <w:rFonts w:ascii="Times New Roman" w:eastAsia="Times New Roman" w:hAnsi="Times New Roman" w:cs="Times New Roman"/>
          <w:color w:val="535354"/>
          <w:sz w:val="34"/>
          <w:szCs w:val="34"/>
          <w:lang w:eastAsia="fr-FR"/>
        </w:rPr>
        <w:t>depuis</w:t>
      </w:r>
      <w:proofErr w:type="gramEnd"/>
      <w:r w:rsidRPr="002265D0">
        <w:rPr>
          <w:rFonts w:ascii="Times New Roman" w:eastAsia="Times New Roman" w:hAnsi="Times New Roman" w:cs="Times New Roman"/>
          <w:color w:val="535354"/>
          <w:sz w:val="34"/>
          <w:szCs w:val="34"/>
          <w:lang w:eastAsia="fr-FR"/>
        </w:rPr>
        <w:t xml:space="preserve"> le 1</w:t>
      </w:r>
      <w:r w:rsidRPr="002265D0">
        <w:rPr>
          <w:rFonts w:ascii="Times New Roman" w:eastAsia="Times New Roman" w:hAnsi="Times New Roman" w:cs="Times New Roman"/>
          <w:color w:val="535354"/>
          <w:sz w:val="16"/>
          <w:szCs w:val="16"/>
          <w:vertAlign w:val="superscript"/>
          <w:lang w:eastAsia="fr-FR"/>
        </w:rPr>
        <w:t>er</w:t>
      </w:r>
      <w:r w:rsidRPr="002265D0">
        <w:rPr>
          <w:rFonts w:ascii="Times New Roman" w:eastAsia="Times New Roman" w:hAnsi="Times New Roman" w:cs="Times New Roman"/>
          <w:color w:val="535354"/>
          <w:sz w:val="34"/>
          <w:szCs w:val="34"/>
          <w:lang w:eastAsia="fr-FR"/>
        </w:rPr>
        <w:t> janvier 2015, les moteurs doivent être de classe IE3 minimum pour des puissances comprises entre 7,5 et 375 kW ou de classe IE2 couplé à un variateur ;</w:t>
      </w:r>
    </w:p>
    <w:p w:rsidR="002265D0" w:rsidRPr="002265D0" w:rsidRDefault="002265D0" w:rsidP="002265D0">
      <w:pPr>
        <w:numPr>
          <w:ilvl w:val="0"/>
          <w:numId w:val="2"/>
        </w:numPr>
        <w:spacing w:line="336" w:lineRule="atLeast"/>
        <w:ind w:left="0"/>
        <w:textAlignment w:val="baseline"/>
        <w:rPr>
          <w:rFonts w:ascii="Times New Roman" w:eastAsia="Times New Roman" w:hAnsi="Times New Roman" w:cs="Times New Roman"/>
          <w:color w:val="535354"/>
          <w:sz w:val="34"/>
          <w:szCs w:val="34"/>
          <w:lang w:eastAsia="fr-FR"/>
        </w:rPr>
      </w:pPr>
      <w:proofErr w:type="gramStart"/>
      <w:r w:rsidRPr="002265D0">
        <w:rPr>
          <w:rFonts w:ascii="Times New Roman" w:eastAsia="Times New Roman" w:hAnsi="Times New Roman" w:cs="Times New Roman"/>
          <w:color w:val="535354"/>
          <w:sz w:val="34"/>
          <w:szCs w:val="34"/>
          <w:lang w:eastAsia="fr-FR"/>
        </w:rPr>
        <w:t>depuis</w:t>
      </w:r>
      <w:proofErr w:type="gramEnd"/>
      <w:r w:rsidRPr="002265D0">
        <w:rPr>
          <w:rFonts w:ascii="Times New Roman" w:eastAsia="Times New Roman" w:hAnsi="Times New Roman" w:cs="Times New Roman"/>
          <w:color w:val="535354"/>
          <w:sz w:val="34"/>
          <w:szCs w:val="34"/>
          <w:lang w:eastAsia="fr-FR"/>
        </w:rPr>
        <w:t xml:space="preserve"> le 1</w:t>
      </w:r>
      <w:r w:rsidRPr="002265D0">
        <w:rPr>
          <w:rFonts w:ascii="Times New Roman" w:eastAsia="Times New Roman" w:hAnsi="Times New Roman" w:cs="Times New Roman"/>
          <w:color w:val="535354"/>
          <w:sz w:val="16"/>
          <w:szCs w:val="16"/>
          <w:vertAlign w:val="superscript"/>
          <w:lang w:eastAsia="fr-FR"/>
        </w:rPr>
        <w:t>er</w:t>
      </w:r>
      <w:r w:rsidRPr="002265D0">
        <w:rPr>
          <w:rFonts w:ascii="Times New Roman" w:eastAsia="Times New Roman" w:hAnsi="Times New Roman" w:cs="Times New Roman"/>
          <w:color w:val="535354"/>
          <w:sz w:val="34"/>
          <w:szCs w:val="34"/>
          <w:lang w:eastAsia="fr-FR"/>
        </w:rPr>
        <w:t> janvier 2017, les moteurs de puissance comprise entre 0,75 et 375 kW doivent être de classe IE3 ou de classe IE2 couplé à un variateur.</w:t>
      </w:r>
    </w:p>
    <w:p w:rsidR="002265D0" w:rsidRPr="002265D0" w:rsidRDefault="002265D0" w:rsidP="002265D0">
      <w:pPr>
        <w:spacing w:line="336" w:lineRule="atLeast"/>
        <w:textAlignment w:val="baseline"/>
        <w:rPr>
          <w:rFonts w:ascii="Times New Roman" w:eastAsia="Times New Roman" w:hAnsi="Times New Roman" w:cs="Times New Roman"/>
          <w:color w:val="535354"/>
          <w:sz w:val="34"/>
          <w:szCs w:val="34"/>
          <w:lang w:eastAsia="fr-FR"/>
        </w:rPr>
      </w:pPr>
      <w:r w:rsidRPr="002265D0">
        <w:rPr>
          <w:rFonts w:ascii="Times New Roman" w:eastAsia="Times New Roman" w:hAnsi="Times New Roman" w:cs="Times New Roman"/>
          <w:color w:val="535354"/>
          <w:sz w:val="34"/>
          <w:szCs w:val="34"/>
          <w:lang w:eastAsia="fr-FR"/>
        </w:rPr>
        <w:t>La classe IE4, ayant des rendements supérieurs, est en cours de développement.</w:t>
      </w:r>
    </w:p>
    <w:p w:rsidR="002265D0" w:rsidRPr="002265D0" w:rsidRDefault="002265D0" w:rsidP="002265D0">
      <w:pPr>
        <w:spacing w:line="390" w:lineRule="atLeast"/>
        <w:textAlignment w:val="baseline"/>
        <w:outlineLvl w:val="1"/>
        <w:rPr>
          <w:rFonts w:ascii="Times New Roman" w:eastAsia="Times New Roman" w:hAnsi="Times New Roman" w:cs="Times New Roman"/>
          <w:b/>
          <w:bCs/>
          <w:color w:val="998677"/>
          <w:sz w:val="27"/>
          <w:szCs w:val="27"/>
          <w:lang w:eastAsia="fr-FR"/>
        </w:rPr>
      </w:pPr>
      <w:r w:rsidRPr="002265D0">
        <w:rPr>
          <w:rFonts w:ascii="Times New Roman" w:eastAsia="Times New Roman" w:hAnsi="Times New Roman" w:cs="Times New Roman"/>
          <w:b/>
          <w:bCs/>
          <w:color w:val="998677"/>
          <w:sz w:val="27"/>
          <w:szCs w:val="27"/>
          <w:lang w:eastAsia="fr-FR"/>
        </w:rPr>
        <w:t>Financement</w:t>
      </w:r>
    </w:p>
    <w:p w:rsidR="002265D0" w:rsidRPr="002265D0" w:rsidRDefault="002265D0" w:rsidP="002265D0">
      <w:pPr>
        <w:spacing w:line="336" w:lineRule="atLeast"/>
        <w:textAlignment w:val="baseline"/>
        <w:rPr>
          <w:rFonts w:ascii="Times New Roman" w:eastAsia="Times New Roman" w:hAnsi="Times New Roman" w:cs="Times New Roman"/>
          <w:color w:val="535354"/>
          <w:sz w:val="34"/>
          <w:szCs w:val="34"/>
          <w:lang w:eastAsia="fr-FR"/>
        </w:rPr>
      </w:pPr>
      <w:proofErr w:type="spellStart"/>
      <w:r w:rsidRPr="002265D0">
        <w:rPr>
          <w:rFonts w:ascii="Times New Roman" w:eastAsia="Times New Roman" w:hAnsi="Times New Roman" w:cs="Times New Roman"/>
          <w:color w:val="535354"/>
          <w:sz w:val="34"/>
          <w:szCs w:val="34"/>
          <w:lang w:eastAsia="fr-FR"/>
        </w:rPr>
        <w:t>Bpifrance</w:t>
      </w:r>
      <w:proofErr w:type="spellEnd"/>
      <w:r w:rsidRPr="002265D0">
        <w:rPr>
          <w:rFonts w:ascii="Times New Roman" w:eastAsia="Times New Roman" w:hAnsi="Times New Roman" w:cs="Times New Roman"/>
          <w:color w:val="535354"/>
          <w:sz w:val="34"/>
          <w:szCs w:val="34"/>
          <w:lang w:eastAsia="fr-FR"/>
        </w:rPr>
        <w:t xml:space="preserve"> et le ministère du Développement durable ont lancé le Prêt Éco-Énergie (PEE) le 1</w:t>
      </w:r>
      <w:r w:rsidRPr="002265D0">
        <w:rPr>
          <w:rFonts w:ascii="Times New Roman" w:eastAsia="Times New Roman" w:hAnsi="Times New Roman" w:cs="Times New Roman"/>
          <w:color w:val="535354"/>
          <w:sz w:val="16"/>
          <w:szCs w:val="16"/>
          <w:vertAlign w:val="superscript"/>
          <w:lang w:eastAsia="fr-FR"/>
        </w:rPr>
        <w:t>er</w:t>
      </w:r>
      <w:r w:rsidRPr="002265D0">
        <w:rPr>
          <w:rFonts w:ascii="Times New Roman" w:eastAsia="Times New Roman" w:hAnsi="Times New Roman" w:cs="Times New Roman"/>
          <w:color w:val="535354"/>
          <w:sz w:val="34"/>
          <w:szCs w:val="34"/>
          <w:lang w:eastAsia="fr-FR"/>
        </w:rPr>
        <w:t> février 2012.</w:t>
      </w:r>
      <w:r w:rsidRPr="002265D0">
        <w:rPr>
          <w:rFonts w:ascii="Times New Roman" w:eastAsia="Times New Roman" w:hAnsi="Times New Roman" w:cs="Times New Roman"/>
          <w:color w:val="535354"/>
          <w:sz w:val="34"/>
          <w:szCs w:val="34"/>
          <w:lang w:eastAsia="fr-FR"/>
        </w:rPr>
        <w:br/>
        <w:t>Ce prêt s’adresse aux </w:t>
      </w:r>
      <w:r w:rsidRPr="002265D0">
        <w:rPr>
          <w:rFonts w:ascii="Times New Roman" w:eastAsia="Times New Roman" w:hAnsi="Times New Roman" w:cs="Times New Roman"/>
          <w:b/>
          <w:bCs/>
          <w:color w:val="535354"/>
          <w:sz w:val="34"/>
          <w:szCs w:val="34"/>
          <w:lang w:eastAsia="fr-FR"/>
        </w:rPr>
        <w:t>TPE et PME de plus de trois ans</w:t>
      </w:r>
      <w:r w:rsidRPr="002265D0">
        <w:rPr>
          <w:rFonts w:ascii="Times New Roman" w:eastAsia="Times New Roman" w:hAnsi="Times New Roman" w:cs="Times New Roman"/>
          <w:color w:val="535354"/>
          <w:sz w:val="34"/>
          <w:szCs w:val="34"/>
          <w:lang w:eastAsia="fr-FR"/>
        </w:rPr>
        <w:t xml:space="preserve">, sans demande de garantie, ni caution personnelle, ni bancaire. Le montant du prêt varie entre </w:t>
      </w:r>
      <w:r w:rsidRPr="002265D0">
        <w:rPr>
          <w:rFonts w:ascii="Times New Roman" w:eastAsia="Times New Roman" w:hAnsi="Times New Roman" w:cs="Times New Roman"/>
          <w:color w:val="535354"/>
          <w:sz w:val="34"/>
          <w:szCs w:val="34"/>
          <w:lang w:eastAsia="fr-FR"/>
        </w:rPr>
        <w:lastRenderedPageBreak/>
        <w:t>10 000 euros et 50 000 euros pour une durée de cinq ans. Son taux fixe est bonifié de 2 %.</w:t>
      </w:r>
    </w:p>
    <w:p w:rsidR="002265D0" w:rsidRPr="002265D0" w:rsidRDefault="002265D0" w:rsidP="002265D0">
      <w:pPr>
        <w:spacing w:line="336" w:lineRule="atLeast"/>
        <w:textAlignment w:val="baseline"/>
        <w:rPr>
          <w:rFonts w:ascii="Times New Roman" w:eastAsia="Times New Roman" w:hAnsi="Times New Roman" w:cs="Times New Roman"/>
          <w:color w:val="535354"/>
          <w:sz w:val="34"/>
          <w:szCs w:val="34"/>
          <w:lang w:eastAsia="fr-FR"/>
        </w:rPr>
      </w:pPr>
      <w:r w:rsidRPr="002265D0">
        <w:rPr>
          <w:rFonts w:ascii="Times New Roman" w:eastAsia="Times New Roman" w:hAnsi="Times New Roman" w:cs="Times New Roman"/>
          <w:color w:val="535354"/>
          <w:sz w:val="34"/>
          <w:szCs w:val="34"/>
          <w:lang w:eastAsia="fr-FR"/>
        </w:rPr>
        <w:t>Le mécanisme des </w:t>
      </w:r>
      <w:hyperlink r:id="rId9" w:history="1">
        <w:r w:rsidRPr="002265D0">
          <w:rPr>
            <w:rFonts w:ascii="Times New Roman" w:eastAsia="Times New Roman" w:hAnsi="Times New Roman" w:cs="Times New Roman"/>
            <w:color w:val="535354"/>
            <w:sz w:val="34"/>
            <w:szCs w:val="34"/>
            <w:u w:val="single"/>
            <w:lang w:eastAsia="fr-FR"/>
          </w:rPr>
          <w:t>Certificats d’économies d’énergie (CEE)</w:t>
        </w:r>
      </w:hyperlink>
      <w:r w:rsidRPr="002265D0">
        <w:rPr>
          <w:rFonts w:ascii="Times New Roman" w:eastAsia="Times New Roman" w:hAnsi="Times New Roman" w:cs="Times New Roman"/>
          <w:color w:val="535354"/>
          <w:sz w:val="34"/>
          <w:szCs w:val="34"/>
          <w:lang w:eastAsia="fr-FR"/>
        </w:rPr>
        <w:t> permet de financer en partie certaines </w:t>
      </w:r>
      <w:r w:rsidRPr="002265D0">
        <w:rPr>
          <w:rFonts w:ascii="Times New Roman" w:eastAsia="Times New Roman" w:hAnsi="Times New Roman" w:cs="Times New Roman"/>
          <w:b/>
          <w:bCs/>
          <w:color w:val="535354"/>
          <w:sz w:val="34"/>
          <w:szCs w:val="34"/>
          <w:lang w:eastAsia="fr-FR"/>
        </w:rPr>
        <w:t>solutions d’économies d’énergie</w:t>
      </w:r>
      <w:r w:rsidRPr="002265D0">
        <w:rPr>
          <w:rFonts w:ascii="Times New Roman" w:eastAsia="Times New Roman" w:hAnsi="Times New Roman" w:cs="Times New Roman"/>
          <w:color w:val="535354"/>
          <w:sz w:val="34"/>
          <w:szCs w:val="34"/>
          <w:lang w:eastAsia="fr-FR"/>
        </w:rPr>
        <w:t>. Les moteurs électriques sont couverts par le mécanisme. La variation de vitesse fait partie des fiches CEE les plus utilisées.</w:t>
      </w:r>
    </w:p>
    <w:p w:rsidR="002265D0" w:rsidRDefault="002265D0">
      <w:pPr>
        <w:sectPr w:rsidR="002265D0" w:rsidSect="002265D0">
          <w:pgSz w:w="11900" w:h="16840"/>
          <w:pgMar w:top="720" w:right="720" w:bottom="720" w:left="720" w:header="708" w:footer="708" w:gutter="0"/>
          <w:cols w:space="708"/>
          <w:docGrid w:linePitch="360"/>
        </w:sectPr>
      </w:pPr>
    </w:p>
    <w:p w:rsidR="002265D0" w:rsidRDefault="002265D0" w:rsidP="002265D0">
      <w:pPr>
        <w:autoSpaceDE w:val="0"/>
        <w:autoSpaceDN w:val="0"/>
        <w:adjustRightInd w:val="0"/>
        <w:rPr>
          <w:rFonts w:ascii="Helvetica" w:hAnsi="Helvetica" w:cs="Helvetica"/>
          <w:color w:val="77B830"/>
          <w:sz w:val="55"/>
          <w:szCs w:val="55"/>
        </w:rPr>
      </w:pPr>
      <w:r>
        <w:rPr>
          <w:rFonts w:ascii="Helvetica" w:hAnsi="Helvetica" w:cs="Helvetica"/>
          <w:color w:val="77B830"/>
          <w:sz w:val="55"/>
          <w:szCs w:val="55"/>
        </w:rPr>
        <w:lastRenderedPageBreak/>
        <w:t>Les moteurs électriques</w:t>
      </w:r>
    </w:p>
    <w:p w:rsidR="002265D0" w:rsidRDefault="002265D0" w:rsidP="002265D0">
      <w:pPr>
        <w:autoSpaceDE w:val="0"/>
        <w:autoSpaceDN w:val="0"/>
        <w:adjustRightInd w:val="0"/>
        <w:rPr>
          <w:rFonts w:ascii="Helvetica" w:hAnsi="Helvetica" w:cs="Helvetica"/>
          <w:b/>
          <w:bCs/>
          <w:color w:val="77B830"/>
          <w:sz w:val="31"/>
          <w:szCs w:val="31"/>
        </w:rPr>
      </w:pPr>
      <w:r>
        <w:rPr>
          <w:rFonts w:ascii="Helvetica" w:hAnsi="Helvetica" w:cs="Helvetica"/>
          <w:b/>
          <w:bCs/>
          <w:color w:val="77B830"/>
          <w:sz w:val="31"/>
          <w:szCs w:val="31"/>
        </w:rPr>
        <w:t>Sommaire du dossier :</w:t>
      </w:r>
    </w:p>
    <w:p w:rsidR="002265D0" w:rsidRDefault="002265D0" w:rsidP="002265D0">
      <w:pPr>
        <w:numPr>
          <w:ilvl w:val="0"/>
          <w:numId w:val="3"/>
        </w:numPr>
        <w:tabs>
          <w:tab w:val="left" w:pos="220"/>
          <w:tab w:val="left" w:pos="720"/>
        </w:tabs>
        <w:autoSpaceDE w:val="0"/>
        <w:autoSpaceDN w:val="0"/>
        <w:adjustRightInd w:val="0"/>
        <w:ind w:hanging="720"/>
        <w:rPr>
          <w:rFonts w:ascii="Helvetica" w:hAnsi="Helvetica" w:cs="Helvetica"/>
          <w:sz w:val="26"/>
          <w:szCs w:val="26"/>
        </w:rPr>
      </w:pPr>
      <w:r>
        <w:rPr>
          <w:rFonts w:ascii="Helvetica" w:hAnsi="Helvetica" w:cs="Helvetica"/>
          <w:color w:val="414142"/>
          <w:kern w:val="1"/>
          <w:sz w:val="26"/>
          <w:szCs w:val="26"/>
        </w:rPr>
        <w:tab/>
      </w:r>
      <w:r>
        <w:rPr>
          <w:rFonts w:ascii="Helvetica" w:hAnsi="Helvetica" w:cs="Helvetica"/>
          <w:color w:val="414142"/>
          <w:kern w:val="1"/>
          <w:sz w:val="26"/>
          <w:szCs w:val="26"/>
        </w:rPr>
        <w:tab/>
      </w:r>
      <w:hyperlink r:id="rId10" w:history="1">
        <w:r>
          <w:rPr>
            <w:rFonts w:ascii="Helvetica" w:hAnsi="Helvetica" w:cs="Helvetica"/>
            <w:color w:val="414142"/>
            <w:sz w:val="26"/>
            <w:szCs w:val="26"/>
          </w:rPr>
          <w:t>Le saviez-vous ?</w:t>
        </w:r>
      </w:hyperlink>
    </w:p>
    <w:p w:rsidR="002265D0" w:rsidRDefault="002265D0" w:rsidP="002265D0">
      <w:pPr>
        <w:numPr>
          <w:ilvl w:val="0"/>
          <w:numId w:val="3"/>
        </w:numPr>
        <w:tabs>
          <w:tab w:val="left" w:pos="220"/>
          <w:tab w:val="left" w:pos="720"/>
        </w:tabs>
        <w:autoSpaceDE w:val="0"/>
        <w:autoSpaceDN w:val="0"/>
        <w:adjustRightInd w:val="0"/>
        <w:ind w:hanging="720"/>
        <w:rPr>
          <w:rFonts w:ascii="Helvetica" w:hAnsi="Helvetica" w:cs="Helvetica"/>
          <w:sz w:val="26"/>
          <w:szCs w:val="26"/>
        </w:rPr>
      </w:pPr>
      <w:r>
        <w:rPr>
          <w:rFonts w:ascii="Helvetica" w:hAnsi="Helvetica" w:cs="Helvetica"/>
          <w:b/>
          <w:bCs/>
          <w:color w:val="77B830"/>
          <w:kern w:val="1"/>
          <w:sz w:val="26"/>
          <w:szCs w:val="26"/>
        </w:rPr>
        <w:tab/>
      </w:r>
      <w:r>
        <w:rPr>
          <w:rFonts w:ascii="Helvetica" w:hAnsi="Helvetica" w:cs="Helvetica"/>
          <w:b/>
          <w:bCs/>
          <w:color w:val="77B830"/>
          <w:kern w:val="1"/>
          <w:sz w:val="26"/>
          <w:szCs w:val="26"/>
        </w:rPr>
        <w:tab/>
      </w:r>
      <w:r>
        <w:rPr>
          <w:rFonts w:ascii="Helvetica" w:hAnsi="Helvetica" w:cs="Helvetica"/>
          <w:b/>
          <w:bCs/>
          <w:color w:val="77B830"/>
          <w:sz w:val="26"/>
          <w:szCs w:val="26"/>
        </w:rPr>
        <w:t>Des conseils pour agir</w:t>
      </w:r>
    </w:p>
    <w:p w:rsidR="002265D0" w:rsidRDefault="002265D0" w:rsidP="002265D0">
      <w:pPr>
        <w:numPr>
          <w:ilvl w:val="0"/>
          <w:numId w:val="3"/>
        </w:numPr>
        <w:tabs>
          <w:tab w:val="left" w:pos="220"/>
          <w:tab w:val="left" w:pos="720"/>
        </w:tabs>
        <w:autoSpaceDE w:val="0"/>
        <w:autoSpaceDN w:val="0"/>
        <w:adjustRightInd w:val="0"/>
        <w:ind w:hanging="720"/>
        <w:rPr>
          <w:rFonts w:ascii="Helvetica" w:hAnsi="Helvetica" w:cs="Helvetica"/>
          <w:sz w:val="26"/>
          <w:szCs w:val="26"/>
        </w:rPr>
      </w:pPr>
      <w:r>
        <w:rPr>
          <w:rFonts w:ascii="Helvetica" w:hAnsi="Helvetica" w:cs="Helvetica"/>
          <w:color w:val="414142"/>
          <w:kern w:val="1"/>
          <w:sz w:val="26"/>
          <w:szCs w:val="26"/>
        </w:rPr>
        <w:tab/>
      </w:r>
      <w:r>
        <w:rPr>
          <w:rFonts w:ascii="Helvetica" w:hAnsi="Helvetica" w:cs="Helvetica"/>
          <w:color w:val="414142"/>
          <w:kern w:val="1"/>
          <w:sz w:val="26"/>
          <w:szCs w:val="26"/>
        </w:rPr>
        <w:tab/>
      </w:r>
      <w:hyperlink r:id="rId11" w:history="1">
        <w:r>
          <w:rPr>
            <w:rFonts w:ascii="Helvetica" w:hAnsi="Helvetica" w:cs="Helvetica"/>
            <w:color w:val="414142"/>
            <w:sz w:val="26"/>
            <w:szCs w:val="26"/>
          </w:rPr>
          <w:t>Outils et liens</w:t>
        </w:r>
      </w:hyperlink>
    </w:p>
    <w:p w:rsidR="002265D0" w:rsidRDefault="002265D0" w:rsidP="002265D0">
      <w:pPr>
        <w:autoSpaceDE w:val="0"/>
        <w:autoSpaceDN w:val="0"/>
        <w:adjustRightInd w:val="0"/>
        <w:rPr>
          <w:rFonts w:ascii="Helvetica" w:hAnsi="Helvetica" w:cs="Helvetica"/>
          <w:color w:val="877364"/>
          <w:sz w:val="60"/>
          <w:szCs w:val="60"/>
        </w:rPr>
      </w:pPr>
      <w:r>
        <w:rPr>
          <w:rFonts w:ascii="Helvetica" w:hAnsi="Helvetica" w:cs="Helvetica"/>
          <w:color w:val="877364"/>
          <w:sz w:val="60"/>
          <w:szCs w:val="60"/>
        </w:rPr>
        <w:t>Des conseils pour agir</w:t>
      </w:r>
    </w:p>
    <w:p w:rsidR="002265D0" w:rsidRDefault="002265D0" w:rsidP="002265D0">
      <w:pPr>
        <w:autoSpaceDE w:val="0"/>
        <w:autoSpaceDN w:val="0"/>
        <w:adjustRightInd w:val="0"/>
        <w:rPr>
          <w:rFonts w:ascii="Helvetica" w:hAnsi="Helvetica" w:cs="Helvetica"/>
          <w:color w:val="414142"/>
        </w:rPr>
      </w:pPr>
      <w:r>
        <w:rPr>
          <w:rFonts w:ascii="Helvetica" w:hAnsi="Helvetica" w:cs="Helvetica"/>
          <w:color w:val="414142"/>
        </w:rPr>
        <w:t>Mis à jour le 07/03/2018</w:t>
      </w:r>
    </w:p>
    <w:p w:rsidR="002265D0" w:rsidRDefault="002265D0" w:rsidP="002265D0">
      <w:pPr>
        <w:autoSpaceDE w:val="0"/>
        <w:autoSpaceDN w:val="0"/>
        <w:adjustRightInd w:val="0"/>
        <w:rPr>
          <w:rFonts w:ascii="Helvetica" w:hAnsi="Helvetica" w:cs="Helvetica"/>
          <w:b/>
          <w:bCs/>
          <w:color w:val="414142"/>
          <w:sz w:val="28"/>
          <w:szCs w:val="28"/>
        </w:rPr>
      </w:pPr>
      <w:r>
        <w:rPr>
          <w:rFonts w:ascii="Helvetica" w:hAnsi="Helvetica" w:cs="Helvetica"/>
          <w:b/>
          <w:bCs/>
          <w:color w:val="414142"/>
          <w:sz w:val="28"/>
          <w:szCs w:val="28"/>
        </w:rPr>
        <w:t>Le système motorisé se compose notamment du moteur, de la transmission et de l’équipement entraîné. Sur ce poste, certaines actions sont éligibles aux certificats d’économies d’énergie (CEE), qui financent une partie de l’investissement.</w:t>
      </w:r>
    </w:p>
    <w:p w:rsidR="00421F2D" w:rsidRPr="00421F2D" w:rsidRDefault="00421F2D" w:rsidP="00421F2D">
      <w:pPr>
        <w:spacing w:line="510" w:lineRule="atLeast"/>
        <w:textAlignment w:val="baseline"/>
        <w:outlineLvl w:val="0"/>
        <w:rPr>
          <w:rFonts w:ascii="Tahoma" w:eastAsia="Times New Roman" w:hAnsi="Tahoma" w:cs="Tahoma"/>
          <w:color w:val="998677"/>
          <w:kern w:val="36"/>
          <w:sz w:val="51"/>
          <w:szCs w:val="51"/>
          <w:lang w:eastAsia="fr-FR"/>
        </w:rPr>
      </w:pPr>
      <w:r w:rsidRPr="00421F2D">
        <w:rPr>
          <w:rFonts w:ascii="Tahoma" w:eastAsia="Times New Roman" w:hAnsi="Tahoma" w:cs="Tahoma"/>
          <w:color w:val="998677"/>
          <w:kern w:val="36"/>
          <w:sz w:val="51"/>
          <w:szCs w:val="51"/>
          <w:lang w:eastAsia="fr-FR"/>
        </w:rPr>
        <w:t>Outils et liens</w:t>
      </w:r>
    </w:p>
    <w:p w:rsidR="00421F2D" w:rsidRPr="00421F2D" w:rsidRDefault="00421F2D" w:rsidP="00421F2D">
      <w:pPr>
        <w:textAlignment w:val="baseline"/>
        <w:rPr>
          <w:rFonts w:ascii="Tahoma" w:eastAsia="Times New Roman" w:hAnsi="Tahoma" w:cs="Tahoma"/>
          <w:color w:val="535354"/>
          <w:sz w:val="21"/>
          <w:szCs w:val="21"/>
          <w:lang w:eastAsia="fr-FR"/>
        </w:rPr>
      </w:pPr>
      <w:r w:rsidRPr="00421F2D">
        <w:rPr>
          <w:rFonts w:ascii="Tahoma" w:eastAsia="Times New Roman" w:hAnsi="Tahoma" w:cs="Tahoma"/>
          <w:color w:val="535354"/>
          <w:sz w:val="21"/>
          <w:szCs w:val="21"/>
          <w:lang w:eastAsia="fr-FR"/>
        </w:rPr>
        <w:t>Mis à jour le 06/03/2018</w:t>
      </w:r>
    </w:p>
    <w:p w:rsidR="00421F2D" w:rsidRPr="00421F2D" w:rsidRDefault="00421F2D" w:rsidP="00421F2D">
      <w:pPr>
        <w:textAlignment w:val="baseline"/>
        <w:rPr>
          <w:rFonts w:ascii="Tahoma" w:eastAsia="Times New Roman" w:hAnsi="Tahoma" w:cs="Tahoma"/>
          <w:b/>
          <w:bCs/>
          <w:color w:val="000000"/>
          <w:sz w:val="21"/>
          <w:szCs w:val="21"/>
          <w:lang w:eastAsia="fr-FR"/>
        </w:rPr>
      </w:pPr>
      <w:r w:rsidRPr="00421F2D">
        <w:rPr>
          <w:rFonts w:ascii="Tahoma" w:eastAsia="Times New Roman" w:hAnsi="Tahoma" w:cs="Tahoma"/>
          <w:b/>
          <w:bCs/>
          <w:color w:val="000000"/>
          <w:sz w:val="21"/>
          <w:szCs w:val="21"/>
          <w:lang w:eastAsia="fr-FR"/>
        </w:rPr>
        <w:t>Vous trouverez dans cet article des outils et des documents vous permettant d'optimiser la consommation d'énergie des moteurs électriques présents dans votre atelier de production.</w:t>
      </w:r>
    </w:p>
    <w:p w:rsidR="00421F2D" w:rsidRPr="00421F2D" w:rsidRDefault="00421F2D" w:rsidP="00421F2D">
      <w:pPr>
        <w:spacing w:line="390" w:lineRule="atLeast"/>
        <w:textAlignment w:val="baseline"/>
        <w:outlineLvl w:val="1"/>
        <w:rPr>
          <w:rFonts w:ascii="Tahoma" w:eastAsia="Times New Roman" w:hAnsi="Tahoma" w:cs="Tahoma"/>
          <w:b/>
          <w:bCs/>
          <w:color w:val="998677"/>
          <w:sz w:val="27"/>
          <w:szCs w:val="27"/>
          <w:lang w:eastAsia="fr-FR"/>
        </w:rPr>
      </w:pPr>
      <w:r w:rsidRPr="00421F2D">
        <w:rPr>
          <w:rFonts w:ascii="Tahoma" w:eastAsia="Times New Roman" w:hAnsi="Tahoma" w:cs="Tahoma"/>
          <w:b/>
          <w:bCs/>
          <w:color w:val="998677"/>
          <w:sz w:val="27"/>
          <w:szCs w:val="27"/>
          <w:lang w:eastAsia="fr-FR"/>
        </w:rPr>
        <w:t>Sites Internet</w:t>
      </w:r>
    </w:p>
    <w:tbl>
      <w:tblPr>
        <w:tblW w:w="12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2"/>
        <w:gridCol w:w="10023"/>
      </w:tblGrid>
      <w:tr w:rsidR="00421F2D" w:rsidRPr="00421F2D" w:rsidTr="00721271">
        <w:tc>
          <w:tcPr>
            <w:tcW w:w="2112" w:type="dxa"/>
            <w:tcBorders>
              <w:top w:val="single" w:sz="6" w:space="0" w:color="FFFFFF"/>
              <w:left w:val="single" w:sz="6" w:space="0" w:color="FFFFFF"/>
              <w:bottom w:val="single" w:sz="6" w:space="0" w:color="FFFFFF"/>
              <w:right w:val="single" w:sz="6" w:space="0" w:color="FFFFFF"/>
            </w:tcBorders>
            <w:shd w:val="clear" w:color="auto" w:fill="F3F3F3"/>
            <w:tcMar>
              <w:top w:w="150" w:type="dxa"/>
              <w:left w:w="150" w:type="dxa"/>
              <w:bottom w:w="150" w:type="dxa"/>
              <w:right w:w="150" w:type="dxa"/>
            </w:tcMar>
            <w:vAlign w:val="center"/>
            <w:hideMark/>
          </w:tcPr>
          <w:p w:rsidR="00421F2D" w:rsidRPr="00421F2D" w:rsidRDefault="00421F2D" w:rsidP="00721271">
            <w:pPr>
              <w:textAlignment w:val="baseline"/>
              <w:rPr>
                <w:rFonts w:ascii="Tahoma" w:eastAsia="Times New Roman" w:hAnsi="Tahoma" w:cs="Tahoma"/>
                <w:color w:val="535354"/>
                <w:sz w:val="18"/>
                <w:szCs w:val="18"/>
                <w:lang w:eastAsia="fr-FR"/>
              </w:rPr>
            </w:pPr>
            <w:r w:rsidRPr="00421F2D">
              <w:rPr>
                <w:rFonts w:ascii="Tahoma" w:eastAsia="Times New Roman" w:hAnsi="Tahoma" w:cs="Tahoma"/>
                <w:color w:val="535354"/>
                <w:sz w:val="18"/>
                <w:szCs w:val="18"/>
                <w:lang w:eastAsia="fr-FR"/>
              </w:rPr>
              <w:t>Groupements techniques</w:t>
            </w:r>
          </w:p>
        </w:tc>
        <w:tc>
          <w:tcPr>
            <w:tcW w:w="0" w:type="auto"/>
            <w:tcBorders>
              <w:top w:val="single" w:sz="6" w:space="0" w:color="FFFFFF"/>
              <w:left w:val="single" w:sz="6" w:space="0" w:color="FFFFFF"/>
              <w:bottom w:val="single" w:sz="6" w:space="0" w:color="FFFFFF"/>
              <w:right w:val="single" w:sz="6" w:space="0" w:color="FFFFFF"/>
            </w:tcBorders>
            <w:shd w:val="clear" w:color="auto" w:fill="F3F3F3"/>
            <w:tcMar>
              <w:top w:w="150" w:type="dxa"/>
              <w:left w:w="150" w:type="dxa"/>
              <w:bottom w:w="150" w:type="dxa"/>
              <w:right w:w="150" w:type="dxa"/>
            </w:tcMar>
            <w:vAlign w:val="center"/>
            <w:hideMark/>
          </w:tcPr>
          <w:p w:rsidR="00421F2D" w:rsidRPr="00421F2D" w:rsidRDefault="00421F2D" w:rsidP="00721271">
            <w:pPr>
              <w:numPr>
                <w:ilvl w:val="0"/>
                <w:numId w:val="4"/>
              </w:numPr>
              <w:ind w:left="0"/>
              <w:textAlignment w:val="baseline"/>
              <w:rPr>
                <w:rFonts w:ascii="Tahoma" w:eastAsia="Times New Roman" w:hAnsi="Tahoma" w:cs="Tahoma"/>
                <w:color w:val="535354"/>
                <w:sz w:val="18"/>
                <w:szCs w:val="18"/>
                <w:lang w:eastAsia="fr-FR"/>
              </w:rPr>
            </w:pPr>
            <w:hyperlink r:id="rId12" w:tgtFrame="_blank" w:history="1">
              <w:proofErr w:type="spellStart"/>
              <w:r w:rsidRPr="00421F2D">
                <w:rPr>
                  <w:rFonts w:ascii="Tahoma" w:eastAsia="Times New Roman" w:hAnsi="Tahoma" w:cs="Tahoma"/>
                  <w:b/>
                  <w:bCs/>
                  <w:color w:val="535354"/>
                  <w:sz w:val="18"/>
                  <w:szCs w:val="18"/>
                  <w:u w:val="single"/>
                  <w:lang w:eastAsia="fr-FR"/>
                </w:rPr>
                <w:t>Gimélec</w:t>
              </w:r>
              <w:proofErr w:type="spellEnd"/>
            </w:hyperlink>
            <w:r w:rsidRPr="00421F2D">
              <w:rPr>
                <w:rFonts w:ascii="Tahoma" w:eastAsia="Times New Roman" w:hAnsi="Tahoma" w:cs="Tahoma"/>
                <w:color w:val="535354"/>
                <w:sz w:val="18"/>
                <w:szCs w:val="18"/>
                <w:lang w:eastAsia="fr-FR"/>
              </w:rPr>
              <w:t> – Association rassemblant 230 entreprises françaises fournissant des solutions électriques et d’automatismes.</w:t>
            </w:r>
          </w:p>
          <w:p w:rsidR="00421F2D" w:rsidRPr="00421F2D" w:rsidRDefault="00421F2D" w:rsidP="00721271">
            <w:pPr>
              <w:numPr>
                <w:ilvl w:val="0"/>
                <w:numId w:val="4"/>
              </w:numPr>
              <w:ind w:left="0"/>
              <w:textAlignment w:val="baseline"/>
              <w:rPr>
                <w:rFonts w:ascii="Tahoma" w:eastAsia="Times New Roman" w:hAnsi="Tahoma" w:cs="Tahoma"/>
                <w:color w:val="535354"/>
                <w:sz w:val="18"/>
                <w:szCs w:val="18"/>
                <w:lang w:eastAsia="fr-FR"/>
              </w:rPr>
            </w:pPr>
            <w:hyperlink r:id="rId13" w:tgtFrame="_blank" w:history="1">
              <w:r w:rsidRPr="00421F2D">
                <w:rPr>
                  <w:rFonts w:ascii="Tahoma" w:eastAsia="Times New Roman" w:hAnsi="Tahoma" w:cs="Tahoma"/>
                  <w:b/>
                  <w:bCs/>
                  <w:color w:val="535354"/>
                  <w:sz w:val="18"/>
                  <w:szCs w:val="18"/>
                  <w:u w:val="single"/>
                  <w:lang w:eastAsia="fr-FR"/>
                </w:rPr>
                <w:t>SIRMELEC</w:t>
              </w:r>
            </w:hyperlink>
            <w:r w:rsidRPr="00421F2D">
              <w:rPr>
                <w:rFonts w:ascii="Tahoma" w:eastAsia="Times New Roman" w:hAnsi="Tahoma" w:cs="Tahoma"/>
                <w:color w:val="535354"/>
                <w:sz w:val="18"/>
                <w:szCs w:val="18"/>
                <w:lang w:eastAsia="fr-FR"/>
              </w:rPr>
              <w:t> – Groupement des entreprises de maintenance et de service de matériel électrique.</w:t>
            </w:r>
          </w:p>
          <w:p w:rsidR="00421F2D" w:rsidRPr="00421F2D" w:rsidRDefault="00421F2D" w:rsidP="00721271">
            <w:pPr>
              <w:numPr>
                <w:ilvl w:val="0"/>
                <w:numId w:val="4"/>
              </w:numPr>
              <w:ind w:left="0"/>
              <w:textAlignment w:val="baseline"/>
              <w:rPr>
                <w:rFonts w:ascii="Tahoma" w:eastAsia="Times New Roman" w:hAnsi="Tahoma" w:cs="Tahoma"/>
                <w:color w:val="535354"/>
                <w:sz w:val="18"/>
                <w:szCs w:val="18"/>
                <w:lang w:eastAsia="fr-FR"/>
              </w:rPr>
            </w:pPr>
            <w:hyperlink r:id="rId14" w:tgtFrame="_blank" w:history="1">
              <w:r w:rsidRPr="00421F2D">
                <w:rPr>
                  <w:rFonts w:ascii="Tahoma" w:eastAsia="Times New Roman" w:hAnsi="Tahoma" w:cs="Tahoma"/>
                  <w:b/>
                  <w:bCs/>
                  <w:color w:val="535354"/>
                  <w:sz w:val="18"/>
                  <w:szCs w:val="18"/>
                  <w:u w:val="single"/>
                  <w:lang w:eastAsia="fr-FR"/>
                </w:rPr>
                <w:t>Union française de l'électricité</w:t>
              </w:r>
            </w:hyperlink>
            <w:r w:rsidRPr="00421F2D">
              <w:rPr>
                <w:rFonts w:ascii="Tahoma" w:eastAsia="Times New Roman" w:hAnsi="Tahoma" w:cs="Tahoma"/>
                <w:color w:val="535354"/>
                <w:sz w:val="18"/>
                <w:szCs w:val="18"/>
                <w:lang w:eastAsia="fr-FR"/>
              </w:rPr>
              <w:t> – UFE</w:t>
            </w:r>
          </w:p>
          <w:p w:rsidR="00421F2D" w:rsidRPr="00421F2D" w:rsidRDefault="00421F2D" w:rsidP="00721271">
            <w:pPr>
              <w:numPr>
                <w:ilvl w:val="0"/>
                <w:numId w:val="4"/>
              </w:numPr>
              <w:ind w:left="0"/>
              <w:textAlignment w:val="baseline"/>
              <w:rPr>
                <w:rFonts w:ascii="Tahoma" w:eastAsia="Times New Roman" w:hAnsi="Tahoma" w:cs="Tahoma"/>
                <w:color w:val="535354"/>
                <w:sz w:val="18"/>
                <w:szCs w:val="18"/>
                <w:lang w:eastAsia="fr-FR"/>
              </w:rPr>
            </w:pPr>
            <w:hyperlink r:id="rId15" w:tgtFrame="_blank" w:history="1">
              <w:r w:rsidRPr="00421F2D">
                <w:rPr>
                  <w:rFonts w:ascii="Tahoma" w:eastAsia="Times New Roman" w:hAnsi="Tahoma" w:cs="Tahoma"/>
                  <w:b/>
                  <w:bCs/>
                  <w:color w:val="535354"/>
                  <w:sz w:val="18"/>
                  <w:szCs w:val="18"/>
                  <w:lang w:eastAsia="fr-FR"/>
                </w:rPr>
                <w:t>Union technique de l'électricité</w:t>
              </w:r>
            </w:hyperlink>
            <w:r w:rsidRPr="00421F2D">
              <w:rPr>
                <w:rFonts w:ascii="Tahoma" w:eastAsia="Times New Roman" w:hAnsi="Tahoma" w:cs="Tahoma"/>
                <w:color w:val="535354"/>
                <w:sz w:val="18"/>
                <w:szCs w:val="18"/>
                <w:lang w:eastAsia="fr-FR"/>
              </w:rPr>
              <w:t> – UTE</w:t>
            </w:r>
          </w:p>
          <w:p w:rsidR="00421F2D" w:rsidRPr="00421F2D" w:rsidRDefault="00421F2D" w:rsidP="00721271">
            <w:pPr>
              <w:numPr>
                <w:ilvl w:val="0"/>
                <w:numId w:val="4"/>
              </w:numPr>
              <w:ind w:left="0"/>
              <w:textAlignment w:val="baseline"/>
              <w:rPr>
                <w:rFonts w:ascii="Tahoma" w:eastAsia="Times New Roman" w:hAnsi="Tahoma" w:cs="Tahoma"/>
                <w:color w:val="535354"/>
                <w:sz w:val="18"/>
                <w:szCs w:val="18"/>
                <w:lang w:val="en-US" w:eastAsia="fr-FR"/>
              </w:rPr>
            </w:pPr>
            <w:hyperlink r:id="rId16" w:tgtFrame="_blank" w:history="1">
              <w:r w:rsidRPr="00421F2D">
                <w:rPr>
                  <w:rFonts w:ascii="Tahoma" w:eastAsia="Times New Roman" w:hAnsi="Tahoma" w:cs="Tahoma"/>
                  <w:b/>
                  <w:bCs/>
                  <w:color w:val="535354"/>
                  <w:sz w:val="18"/>
                  <w:szCs w:val="18"/>
                  <w:u w:val="single"/>
                  <w:lang w:val="en-US" w:eastAsia="fr-FR"/>
                </w:rPr>
                <w:t>SMMT</w:t>
              </w:r>
            </w:hyperlink>
            <w:r w:rsidRPr="00421F2D">
              <w:rPr>
                <w:rFonts w:ascii="Tahoma" w:eastAsia="Times New Roman" w:hAnsi="Tahoma" w:cs="Tahoma"/>
                <w:color w:val="535354"/>
                <w:sz w:val="18"/>
                <w:szCs w:val="18"/>
                <w:lang w:val="en-US" w:eastAsia="fr-FR"/>
              </w:rPr>
              <w:t> – The Society of Motor Manufacturer and Trader (UK)</w:t>
            </w:r>
          </w:p>
        </w:tc>
      </w:tr>
    </w:tbl>
    <w:p w:rsidR="00421F2D" w:rsidRPr="00421F2D" w:rsidRDefault="00421F2D" w:rsidP="00421F2D">
      <w:pPr>
        <w:rPr>
          <w:rFonts w:ascii="Times New Roman" w:eastAsia="Times New Roman" w:hAnsi="Times New Roman" w:cs="Times New Roman"/>
          <w:lang w:val="en-US" w:eastAsia="fr-FR"/>
        </w:rPr>
      </w:pPr>
      <w:r w:rsidRPr="00421F2D">
        <w:rPr>
          <w:rFonts w:ascii="Tahoma" w:eastAsia="Times New Roman" w:hAnsi="Tahoma" w:cs="Tahoma"/>
          <w:color w:val="535354"/>
          <w:sz w:val="21"/>
          <w:szCs w:val="21"/>
          <w:shd w:val="clear" w:color="auto" w:fill="FFFFFF"/>
          <w:lang w:val="en-US" w:eastAsia="fr-FR"/>
        </w:rPr>
        <w:t> </w:t>
      </w:r>
      <w:bookmarkStart w:id="0" w:name="_GoBack"/>
      <w:bookmarkEnd w:id="0"/>
      <w:r w:rsidRPr="00421F2D">
        <w:rPr>
          <w:rFonts w:ascii="Tahoma" w:eastAsia="Times New Roman" w:hAnsi="Tahoma" w:cs="Tahoma"/>
          <w:b/>
          <w:bCs/>
          <w:color w:val="998677"/>
          <w:sz w:val="27"/>
          <w:szCs w:val="27"/>
          <w:lang w:eastAsia="fr-FR"/>
        </w:rPr>
        <w:t>Bibliographie</w:t>
      </w:r>
    </w:p>
    <w:tbl>
      <w:tblPr>
        <w:tblW w:w="12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2"/>
        <w:gridCol w:w="10023"/>
      </w:tblGrid>
      <w:tr w:rsidR="00421F2D" w:rsidRPr="00421F2D" w:rsidTr="00721271">
        <w:tc>
          <w:tcPr>
            <w:tcW w:w="2112" w:type="dxa"/>
            <w:tcBorders>
              <w:top w:val="single" w:sz="6" w:space="0" w:color="FFFFFF"/>
              <w:left w:val="single" w:sz="6" w:space="0" w:color="FFFFFF"/>
              <w:bottom w:val="single" w:sz="6" w:space="0" w:color="FFFFFF"/>
              <w:right w:val="single" w:sz="6" w:space="0" w:color="FFFFFF"/>
            </w:tcBorders>
            <w:shd w:val="clear" w:color="auto" w:fill="F3F3F3"/>
            <w:tcMar>
              <w:top w:w="150" w:type="dxa"/>
              <w:left w:w="150" w:type="dxa"/>
              <w:bottom w:w="150" w:type="dxa"/>
              <w:right w:w="150" w:type="dxa"/>
            </w:tcMar>
            <w:vAlign w:val="center"/>
            <w:hideMark/>
          </w:tcPr>
          <w:p w:rsidR="00421F2D" w:rsidRPr="00421F2D" w:rsidRDefault="00421F2D" w:rsidP="00721271">
            <w:pPr>
              <w:textAlignment w:val="baseline"/>
              <w:rPr>
                <w:rFonts w:ascii="Tahoma" w:eastAsia="Times New Roman" w:hAnsi="Tahoma" w:cs="Tahoma"/>
                <w:color w:val="535354"/>
                <w:sz w:val="18"/>
                <w:szCs w:val="18"/>
                <w:lang w:eastAsia="fr-FR"/>
              </w:rPr>
            </w:pPr>
            <w:r w:rsidRPr="00421F2D">
              <w:rPr>
                <w:rFonts w:ascii="Tahoma" w:eastAsia="Times New Roman" w:hAnsi="Tahoma" w:cs="Tahoma"/>
                <w:color w:val="535354"/>
                <w:sz w:val="18"/>
                <w:szCs w:val="18"/>
                <w:lang w:eastAsia="fr-FR"/>
              </w:rPr>
              <w:t>Sources techniques</w:t>
            </w:r>
          </w:p>
        </w:tc>
        <w:tc>
          <w:tcPr>
            <w:tcW w:w="0" w:type="auto"/>
            <w:tcBorders>
              <w:top w:val="single" w:sz="6" w:space="0" w:color="FFFFFF"/>
              <w:left w:val="single" w:sz="6" w:space="0" w:color="FFFFFF"/>
              <w:bottom w:val="single" w:sz="6" w:space="0" w:color="FFFFFF"/>
              <w:right w:val="single" w:sz="6" w:space="0" w:color="FFFFFF"/>
            </w:tcBorders>
            <w:shd w:val="clear" w:color="auto" w:fill="F3F3F3"/>
            <w:tcMar>
              <w:top w:w="150" w:type="dxa"/>
              <w:left w:w="150" w:type="dxa"/>
              <w:bottom w:w="150" w:type="dxa"/>
              <w:right w:w="150" w:type="dxa"/>
            </w:tcMar>
            <w:vAlign w:val="center"/>
            <w:hideMark/>
          </w:tcPr>
          <w:p w:rsidR="00421F2D" w:rsidRPr="00421F2D" w:rsidRDefault="00421F2D" w:rsidP="00721271">
            <w:pPr>
              <w:numPr>
                <w:ilvl w:val="0"/>
                <w:numId w:val="5"/>
              </w:numPr>
              <w:ind w:left="0"/>
              <w:textAlignment w:val="baseline"/>
              <w:rPr>
                <w:rFonts w:ascii="Tahoma" w:eastAsia="Times New Roman" w:hAnsi="Tahoma" w:cs="Tahoma"/>
                <w:color w:val="535354"/>
                <w:sz w:val="18"/>
                <w:szCs w:val="18"/>
                <w:lang w:eastAsia="fr-FR"/>
              </w:rPr>
            </w:pPr>
            <w:hyperlink r:id="rId17" w:history="1">
              <w:r w:rsidRPr="00421F2D">
                <w:rPr>
                  <w:rFonts w:ascii="Tahoma" w:eastAsia="Times New Roman" w:hAnsi="Tahoma" w:cs="Tahoma"/>
                  <w:b/>
                  <w:bCs/>
                  <w:color w:val="535354"/>
                  <w:sz w:val="18"/>
                  <w:szCs w:val="18"/>
                  <w:lang w:eastAsia="fr-FR"/>
                </w:rPr>
                <w:t>Effacement de consommation électrique en France</w:t>
              </w:r>
            </w:hyperlink>
            <w:r w:rsidRPr="00421F2D">
              <w:rPr>
                <w:rFonts w:ascii="Tahoma" w:eastAsia="Times New Roman" w:hAnsi="Tahoma" w:cs="Tahoma"/>
                <w:color w:val="535354"/>
                <w:sz w:val="18"/>
                <w:szCs w:val="18"/>
                <w:lang w:eastAsia="fr-FR"/>
              </w:rPr>
              <w:t> - E-CUBE STRATEGY CONSULTANTS, CEREN, ADEME – Septembre 2017</w:t>
            </w:r>
          </w:p>
          <w:p w:rsidR="00421F2D" w:rsidRPr="00421F2D" w:rsidRDefault="00421F2D" w:rsidP="00721271">
            <w:pPr>
              <w:numPr>
                <w:ilvl w:val="0"/>
                <w:numId w:val="5"/>
              </w:numPr>
              <w:ind w:left="0"/>
              <w:textAlignment w:val="baseline"/>
              <w:rPr>
                <w:rFonts w:ascii="Tahoma" w:eastAsia="Times New Roman" w:hAnsi="Tahoma" w:cs="Tahoma"/>
                <w:color w:val="535354"/>
                <w:sz w:val="18"/>
                <w:szCs w:val="18"/>
                <w:lang w:eastAsia="fr-FR"/>
              </w:rPr>
            </w:pPr>
            <w:hyperlink r:id="rId18" w:history="1">
              <w:r w:rsidRPr="00421F2D">
                <w:rPr>
                  <w:rFonts w:ascii="Tahoma" w:eastAsia="Times New Roman" w:hAnsi="Tahoma" w:cs="Tahoma"/>
                  <w:b/>
                  <w:bCs/>
                  <w:color w:val="535354"/>
                  <w:sz w:val="18"/>
                  <w:szCs w:val="18"/>
                  <w:lang w:eastAsia="fr-FR"/>
                </w:rPr>
                <w:t>Industriels, investissez dans la performance énergétique</w:t>
              </w:r>
            </w:hyperlink>
            <w:r w:rsidRPr="00421F2D">
              <w:rPr>
                <w:rFonts w:ascii="Tahoma" w:eastAsia="Times New Roman" w:hAnsi="Tahoma" w:cs="Tahoma"/>
                <w:color w:val="535354"/>
                <w:sz w:val="18"/>
                <w:szCs w:val="18"/>
                <w:lang w:eastAsia="fr-FR"/>
              </w:rPr>
              <w:t> - ADEME - Septembre 2017</w:t>
            </w:r>
          </w:p>
          <w:p w:rsidR="00421F2D" w:rsidRPr="00421F2D" w:rsidRDefault="00421F2D" w:rsidP="00721271">
            <w:pPr>
              <w:numPr>
                <w:ilvl w:val="0"/>
                <w:numId w:val="5"/>
              </w:numPr>
              <w:ind w:left="0"/>
              <w:textAlignment w:val="baseline"/>
              <w:rPr>
                <w:rFonts w:ascii="Tahoma" w:eastAsia="Times New Roman" w:hAnsi="Tahoma" w:cs="Tahoma"/>
                <w:color w:val="535354"/>
                <w:sz w:val="18"/>
                <w:szCs w:val="18"/>
                <w:lang w:eastAsia="fr-FR"/>
              </w:rPr>
            </w:pPr>
            <w:hyperlink r:id="rId19" w:history="1">
              <w:r w:rsidRPr="00421F2D">
                <w:rPr>
                  <w:rFonts w:ascii="Tahoma" w:eastAsia="Times New Roman" w:hAnsi="Tahoma" w:cs="Tahoma"/>
                  <w:b/>
                  <w:bCs/>
                  <w:color w:val="535354"/>
                  <w:sz w:val="18"/>
                  <w:szCs w:val="18"/>
                  <w:u w:val="single"/>
                  <w:lang w:eastAsia="fr-FR"/>
                </w:rPr>
                <w:t>Le comptage de l'énergie - Amélioration de la performance énergétique dans l’industrie</w:t>
              </w:r>
            </w:hyperlink>
            <w:r w:rsidRPr="00421F2D">
              <w:rPr>
                <w:rFonts w:ascii="Tahoma" w:eastAsia="Times New Roman" w:hAnsi="Tahoma" w:cs="Tahoma"/>
                <w:b/>
                <w:bCs/>
                <w:color w:val="535354"/>
                <w:sz w:val="18"/>
                <w:szCs w:val="18"/>
                <w:lang w:eastAsia="fr-FR"/>
              </w:rPr>
              <w:t> </w:t>
            </w:r>
            <w:r w:rsidRPr="00421F2D">
              <w:rPr>
                <w:rFonts w:ascii="Tahoma" w:eastAsia="Times New Roman" w:hAnsi="Tahoma" w:cs="Tahoma"/>
                <w:color w:val="535354"/>
                <w:sz w:val="18"/>
                <w:szCs w:val="18"/>
                <w:lang w:eastAsia="fr-FR"/>
              </w:rPr>
              <w:t>- ADEME, DUNOD - Octobre 2014</w:t>
            </w:r>
          </w:p>
          <w:p w:rsidR="00421F2D" w:rsidRPr="00421F2D" w:rsidRDefault="00421F2D" w:rsidP="00721271">
            <w:pPr>
              <w:numPr>
                <w:ilvl w:val="0"/>
                <w:numId w:val="5"/>
              </w:numPr>
              <w:ind w:left="0"/>
              <w:textAlignment w:val="baseline"/>
              <w:rPr>
                <w:rFonts w:ascii="Tahoma" w:eastAsia="Times New Roman" w:hAnsi="Tahoma" w:cs="Tahoma"/>
                <w:color w:val="535354"/>
                <w:sz w:val="18"/>
                <w:szCs w:val="18"/>
                <w:lang w:eastAsia="fr-FR"/>
              </w:rPr>
            </w:pPr>
            <w:hyperlink r:id="rId20" w:tgtFrame="_blank" w:history="1">
              <w:proofErr w:type="spellStart"/>
              <w:r w:rsidRPr="00421F2D">
                <w:rPr>
                  <w:rFonts w:ascii="Tahoma" w:eastAsia="Times New Roman" w:hAnsi="Tahoma" w:cs="Tahoma"/>
                  <w:b/>
                  <w:bCs/>
                  <w:color w:val="535354"/>
                  <w:sz w:val="18"/>
                  <w:szCs w:val="18"/>
                  <w:u w:val="single"/>
                  <w:lang w:eastAsia="fr-FR"/>
                </w:rPr>
                <w:t>Éco-bilan</w:t>
              </w:r>
              <w:proofErr w:type="spellEnd"/>
              <w:r w:rsidRPr="00421F2D">
                <w:rPr>
                  <w:rFonts w:ascii="Tahoma" w:eastAsia="Times New Roman" w:hAnsi="Tahoma" w:cs="Tahoma"/>
                  <w:b/>
                  <w:bCs/>
                  <w:color w:val="535354"/>
                  <w:sz w:val="18"/>
                  <w:szCs w:val="18"/>
                  <w:u w:val="single"/>
                  <w:lang w:eastAsia="fr-FR"/>
                </w:rPr>
                <w:t xml:space="preserve"> de la réparation / maintenance de matériel électrique</w:t>
              </w:r>
            </w:hyperlink>
            <w:r w:rsidRPr="00421F2D">
              <w:rPr>
                <w:rFonts w:ascii="Tahoma" w:eastAsia="Times New Roman" w:hAnsi="Tahoma" w:cs="Tahoma"/>
                <w:color w:val="535354"/>
                <w:sz w:val="18"/>
                <w:szCs w:val="18"/>
                <w:lang w:eastAsia="fr-FR"/>
              </w:rPr>
              <w:t> - SIRMELEC - 2012 (PDF - 5,34 Mo)</w:t>
            </w:r>
          </w:p>
          <w:p w:rsidR="00421F2D" w:rsidRPr="00421F2D" w:rsidRDefault="00421F2D" w:rsidP="00721271">
            <w:pPr>
              <w:numPr>
                <w:ilvl w:val="0"/>
                <w:numId w:val="5"/>
              </w:numPr>
              <w:ind w:left="0"/>
              <w:textAlignment w:val="baseline"/>
              <w:rPr>
                <w:rFonts w:ascii="Tahoma" w:eastAsia="Times New Roman" w:hAnsi="Tahoma" w:cs="Tahoma"/>
                <w:color w:val="535354"/>
                <w:sz w:val="18"/>
                <w:szCs w:val="18"/>
                <w:lang w:eastAsia="fr-FR"/>
              </w:rPr>
            </w:pPr>
            <w:hyperlink r:id="rId21" w:tgtFrame="_blank" w:history="1">
              <w:r w:rsidRPr="00421F2D">
                <w:rPr>
                  <w:rFonts w:ascii="Tahoma" w:eastAsia="Times New Roman" w:hAnsi="Tahoma" w:cs="Tahoma"/>
                  <w:b/>
                  <w:bCs/>
                  <w:color w:val="535354"/>
                  <w:sz w:val="18"/>
                  <w:szCs w:val="18"/>
                  <w:lang w:eastAsia="fr-FR"/>
                </w:rPr>
                <w:t>Moteur électrique à haut rendement, règlement européen portant sur l’</w:t>
              </w:r>
              <w:proofErr w:type="spellStart"/>
              <w:r w:rsidRPr="00421F2D">
                <w:rPr>
                  <w:rFonts w:ascii="Tahoma" w:eastAsia="Times New Roman" w:hAnsi="Tahoma" w:cs="Tahoma"/>
                  <w:b/>
                  <w:bCs/>
                  <w:color w:val="535354"/>
                  <w:sz w:val="18"/>
                  <w:szCs w:val="18"/>
                  <w:lang w:eastAsia="fr-FR"/>
                </w:rPr>
                <w:t>éco-conception</w:t>
              </w:r>
              <w:proofErr w:type="spellEnd"/>
              <w:r w:rsidRPr="00421F2D">
                <w:rPr>
                  <w:rFonts w:ascii="Tahoma" w:eastAsia="Times New Roman" w:hAnsi="Tahoma" w:cs="Tahoma"/>
                  <w:b/>
                  <w:bCs/>
                  <w:color w:val="535354"/>
                  <w:sz w:val="18"/>
                  <w:szCs w:val="18"/>
                  <w:lang w:eastAsia="fr-FR"/>
                </w:rPr>
                <w:t xml:space="preserve"> des moteurs</w:t>
              </w:r>
            </w:hyperlink>
            <w:r w:rsidRPr="00421F2D">
              <w:rPr>
                <w:rFonts w:ascii="Tahoma" w:eastAsia="Times New Roman" w:hAnsi="Tahoma" w:cs="Tahoma"/>
                <w:color w:val="535354"/>
                <w:sz w:val="18"/>
                <w:szCs w:val="18"/>
                <w:lang w:eastAsia="fr-FR"/>
              </w:rPr>
              <w:t xml:space="preserve"> - </w:t>
            </w:r>
            <w:proofErr w:type="spellStart"/>
            <w:r w:rsidRPr="00421F2D">
              <w:rPr>
                <w:rFonts w:ascii="Tahoma" w:eastAsia="Times New Roman" w:hAnsi="Tahoma" w:cs="Tahoma"/>
                <w:color w:val="535354"/>
                <w:sz w:val="18"/>
                <w:szCs w:val="18"/>
                <w:lang w:eastAsia="fr-FR"/>
              </w:rPr>
              <w:t>Gimélec</w:t>
            </w:r>
            <w:proofErr w:type="spellEnd"/>
            <w:r w:rsidRPr="00421F2D">
              <w:rPr>
                <w:rFonts w:ascii="Tahoma" w:eastAsia="Times New Roman" w:hAnsi="Tahoma" w:cs="Tahoma"/>
                <w:color w:val="535354"/>
                <w:sz w:val="18"/>
                <w:szCs w:val="18"/>
                <w:lang w:eastAsia="fr-FR"/>
              </w:rPr>
              <w:t xml:space="preserve"> - Novembre 2010 (PDF - 782 Ko)</w:t>
            </w:r>
          </w:p>
          <w:p w:rsidR="00421F2D" w:rsidRPr="00421F2D" w:rsidRDefault="00421F2D" w:rsidP="00721271">
            <w:pPr>
              <w:numPr>
                <w:ilvl w:val="0"/>
                <w:numId w:val="5"/>
              </w:numPr>
              <w:ind w:left="0"/>
              <w:textAlignment w:val="baseline"/>
              <w:rPr>
                <w:rFonts w:ascii="Tahoma" w:eastAsia="Times New Roman" w:hAnsi="Tahoma" w:cs="Tahoma"/>
                <w:color w:val="535354"/>
                <w:sz w:val="18"/>
                <w:szCs w:val="18"/>
                <w:lang w:eastAsia="fr-FR"/>
              </w:rPr>
            </w:pPr>
            <w:hyperlink r:id="rId22" w:tgtFrame="_blank" w:history="1">
              <w:r w:rsidRPr="00421F2D">
                <w:rPr>
                  <w:rFonts w:ascii="Tahoma" w:eastAsia="Times New Roman" w:hAnsi="Tahoma" w:cs="Tahoma"/>
                  <w:b/>
                  <w:bCs/>
                  <w:color w:val="535354"/>
                  <w:sz w:val="18"/>
                  <w:szCs w:val="18"/>
                  <w:u w:val="single"/>
                  <w:lang w:eastAsia="fr-FR"/>
                </w:rPr>
                <w:t>Règlement CE N° 640/2009 relatif à l’</w:t>
              </w:r>
              <w:proofErr w:type="spellStart"/>
              <w:r w:rsidRPr="00421F2D">
                <w:rPr>
                  <w:rFonts w:ascii="Tahoma" w:eastAsia="Times New Roman" w:hAnsi="Tahoma" w:cs="Tahoma"/>
                  <w:b/>
                  <w:bCs/>
                  <w:color w:val="535354"/>
                  <w:sz w:val="18"/>
                  <w:szCs w:val="18"/>
                  <w:u w:val="single"/>
                  <w:lang w:eastAsia="fr-FR"/>
                </w:rPr>
                <w:t>éco-conception</w:t>
              </w:r>
              <w:proofErr w:type="spellEnd"/>
              <w:r w:rsidRPr="00421F2D">
                <w:rPr>
                  <w:rFonts w:ascii="Tahoma" w:eastAsia="Times New Roman" w:hAnsi="Tahoma" w:cs="Tahoma"/>
                  <w:b/>
                  <w:bCs/>
                  <w:color w:val="535354"/>
                  <w:sz w:val="18"/>
                  <w:szCs w:val="18"/>
                  <w:u w:val="single"/>
                  <w:lang w:eastAsia="fr-FR"/>
                </w:rPr>
                <w:t xml:space="preserve"> des moteurs</w:t>
              </w:r>
            </w:hyperlink>
            <w:r w:rsidRPr="00421F2D">
              <w:rPr>
                <w:rFonts w:ascii="Tahoma" w:eastAsia="Times New Roman" w:hAnsi="Tahoma" w:cs="Tahoma"/>
                <w:color w:val="535354"/>
                <w:sz w:val="18"/>
                <w:szCs w:val="18"/>
                <w:lang w:eastAsia="fr-FR"/>
              </w:rPr>
              <w:t> - Juillet 2009 (PDF - 777 Ko)</w:t>
            </w:r>
          </w:p>
        </w:tc>
      </w:tr>
    </w:tbl>
    <w:p w:rsidR="00421F2D" w:rsidRDefault="00421F2D" w:rsidP="002265D0">
      <w:pPr>
        <w:autoSpaceDE w:val="0"/>
        <w:autoSpaceDN w:val="0"/>
        <w:adjustRightInd w:val="0"/>
        <w:rPr>
          <w:rFonts w:ascii="Helvetica" w:hAnsi="Helvetica" w:cs="Helvetica"/>
          <w:b/>
          <w:bCs/>
          <w:sz w:val="28"/>
          <w:szCs w:val="28"/>
        </w:rPr>
      </w:pPr>
    </w:p>
    <w:p w:rsidR="002265D0" w:rsidRPr="002265D0" w:rsidRDefault="002265D0" w:rsidP="002265D0">
      <w:pPr>
        <w:autoSpaceDE w:val="0"/>
        <w:autoSpaceDN w:val="0"/>
        <w:adjustRightInd w:val="0"/>
        <w:rPr>
          <w:rFonts w:ascii="Helvetica" w:hAnsi="Helvetica" w:cs="Helvetica"/>
          <w:color w:val="414142"/>
          <w:sz w:val="23"/>
          <w:szCs w:val="23"/>
        </w:rPr>
      </w:pPr>
      <w:r>
        <w:rPr>
          <w:rFonts w:ascii="Helvetica" w:hAnsi="Helvetica" w:cs="Helvetica"/>
          <w:noProof/>
          <w:color w:val="414142"/>
          <w:sz w:val="23"/>
          <w:szCs w:val="23"/>
        </w:rPr>
        <w:lastRenderedPageBreak/>
        <w:drawing>
          <wp:inline distT="0" distB="0" distL="0" distR="0">
            <wp:extent cx="9448800" cy="66812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452259" cy="6683681"/>
                    </a:xfrm>
                    <a:prstGeom prst="rect">
                      <a:avLst/>
                    </a:prstGeom>
                    <a:noFill/>
                    <a:ln>
                      <a:noFill/>
                    </a:ln>
                  </pic:spPr>
                </pic:pic>
              </a:graphicData>
            </a:graphic>
          </wp:inline>
        </w:drawing>
      </w:r>
      <w:r>
        <w:rPr>
          <w:rFonts w:ascii="Helvetica" w:hAnsi="Helvetica" w:cs="Helvetica"/>
          <w:color w:val="877364"/>
          <w:sz w:val="32"/>
          <w:szCs w:val="32"/>
        </w:rPr>
        <w:lastRenderedPageBreak/>
        <w:t>Légende</w:t>
      </w:r>
    </w:p>
    <w:tbl>
      <w:tblPr>
        <w:tblW w:w="0" w:type="auto"/>
        <w:tblInd w:w="-118" w:type="dxa"/>
        <w:tblBorders>
          <w:top w:val="nil"/>
          <w:left w:val="nil"/>
          <w:right w:val="nil"/>
        </w:tblBorders>
        <w:tblLayout w:type="fixed"/>
        <w:tblLook w:val="0000" w:firstRow="0" w:lastRow="0" w:firstColumn="0" w:lastColumn="0" w:noHBand="0" w:noVBand="0"/>
      </w:tblPr>
      <w:tblGrid>
        <w:gridCol w:w="499"/>
        <w:gridCol w:w="3258"/>
        <w:gridCol w:w="1330"/>
        <w:gridCol w:w="4419"/>
        <w:gridCol w:w="618"/>
        <w:gridCol w:w="1555"/>
      </w:tblGrid>
      <w:tr w:rsidR="002265D0" w:rsidTr="002265D0">
        <w:tblPrEx>
          <w:tblCellMar>
            <w:top w:w="0" w:type="dxa"/>
            <w:bottom w:w="0" w:type="dxa"/>
          </w:tblCellMar>
        </w:tblPrEx>
        <w:tc>
          <w:tcPr>
            <w:tcW w:w="3757" w:type="dxa"/>
            <w:gridSpan w:val="2"/>
            <w:tcBorders>
              <w:top w:val="single" w:sz="8" w:space="0" w:color="FFFFFF"/>
              <w:left w:val="single" w:sz="8" w:space="0" w:color="FFFFFF"/>
              <w:bottom w:val="single" w:sz="8" w:space="0" w:color="FFFFFF"/>
              <w:right w:val="single" w:sz="8" w:space="0" w:color="FFFFFF"/>
            </w:tcBorders>
            <w:shd w:val="clear" w:color="auto" w:fill="877364"/>
            <w:tcMar>
              <w:top w:w="200" w:type="nil"/>
              <w:right w:w="200" w:type="nil"/>
            </w:tcMar>
            <w:vAlign w:val="center"/>
          </w:tcPr>
          <w:p w:rsidR="002265D0" w:rsidRDefault="002265D0">
            <w:pPr>
              <w:autoSpaceDE w:val="0"/>
              <w:autoSpaceDN w:val="0"/>
              <w:adjustRightInd w:val="0"/>
              <w:rPr>
                <w:rFonts w:ascii="Helvetica" w:hAnsi="Helvetica" w:cs="Helvetica"/>
                <w:b/>
                <w:bCs/>
                <w:color w:val="FFFFFF"/>
              </w:rPr>
            </w:pPr>
            <w:r>
              <w:rPr>
                <w:rFonts w:ascii="Helvetica" w:hAnsi="Helvetica" w:cs="Helvetica"/>
                <w:b/>
                <w:bCs/>
                <w:color w:val="FFFFFF"/>
              </w:rPr>
              <w:t>Facilité</w:t>
            </w:r>
          </w:p>
        </w:tc>
        <w:tc>
          <w:tcPr>
            <w:tcW w:w="5749" w:type="dxa"/>
            <w:gridSpan w:val="2"/>
            <w:tcBorders>
              <w:top w:val="single" w:sz="8" w:space="0" w:color="FFFFFF"/>
              <w:left w:val="single" w:sz="8" w:space="0" w:color="FFFFFF"/>
              <w:bottom w:val="single" w:sz="8" w:space="0" w:color="FFFFFF"/>
              <w:right w:val="single" w:sz="8" w:space="0" w:color="FFFFFF"/>
            </w:tcBorders>
            <w:shd w:val="clear" w:color="auto" w:fill="877364"/>
            <w:tcMar>
              <w:top w:w="200" w:type="nil"/>
              <w:right w:w="200" w:type="nil"/>
            </w:tcMar>
            <w:vAlign w:val="center"/>
          </w:tcPr>
          <w:p w:rsidR="002265D0" w:rsidRDefault="002265D0">
            <w:pPr>
              <w:autoSpaceDE w:val="0"/>
              <w:autoSpaceDN w:val="0"/>
              <w:adjustRightInd w:val="0"/>
              <w:rPr>
                <w:rFonts w:ascii="Helvetica" w:hAnsi="Helvetica" w:cs="Helvetica"/>
                <w:b/>
                <w:bCs/>
                <w:color w:val="FFFFFF"/>
              </w:rPr>
            </w:pPr>
            <w:r>
              <w:rPr>
                <w:rFonts w:ascii="Helvetica" w:hAnsi="Helvetica" w:cs="Helvetica"/>
                <w:b/>
                <w:bCs/>
                <w:color w:val="FFFFFF"/>
              </w:rPr>
              <w:t>Temps de retour sur investissement (TRI)</w:t>
            </w:r>
          </w:p>
        </w:tc>
        <w:tc>
          <w:tcPr>
            <w:tcW w:w="2173" w:type="dxa"/>
            <w:gridSpan w:val="2"/>
            <w:tcBorders>
              <w:top w:val="single" w:sz="8" w:space="0" w:color="FFFFFF"/>
              <w:left w:val="single" w:sz="8" w:space="0" w:color="FFFFFF"/>
              <w:bottom w:val="single" w:sz="8" w:space="0" w:color="FFFFFF"/>
              <w:right w:val="single" w:sz="8" w:space="0" w:color="FFFFFF"/>
            </w:tcBorders>
            <w:shd w:val="clear" w:color="auto" w:fill="877364"/>
            <w:tcMar>
              <w:top w:w="200" w:type="nil"/>
              <w:right w:w="200" w:type="nil"/>
            </w:tcMar>
            <w:vAlign w:val="center"/>
          </w:tcPr>
          <w:p w:rsidR="002265D0" w:rsidRDefault="002265D0">
            <w:pPr>
              <w:autoSpaceDE w:val="0"/>
              <w:autoSpaceDN w:val="0"/>
              <w:adjustRightInd w:val="0"/>
              <w:rPr>
                <w:rFonts w:ascii="Helvetica" w:hAnsi="Helvetica" w:cs="Helvetica"/>
                <w:b/>
                <w:bCs/>
                <w:color w:val="FFFFFF"/>
              </w:rPr>
            </w:pPr>
            <w:r>
              <w:rPr>
                <w:rFonts w:ascii="Helvetica" w:hAnsi="Helvetica" w:cs="Helvetica"/>
                <w:b/>
                <w:bCs/>
                <w:color w:val="FFFFFF"/>
              </w:rPr>
              <w:t>Coût</w:t>
            </w:r>
          </w:p>
        </w:tc>
      </w:tr>
      <w:tr w:rsidR="002265D0">
        <w:tblPrEx>
          <w:tblBorders>
            <w:top w:val="none" w:sz="0" w:space="0" w:color="auto"/>
          </w:tblBorders>
          <w:tblCellMar>
            <w:top w:w="0" w:type="dxa"/>
            <w:bottom w:w="0" w:type="dxa"/>
          </w:tblCellMar>
        </w:tblPrEx>
        <w:tc>
          <w:tcPr>
            <w:tcW w:w="499"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2837"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Facile</w:t>
            </w:r>
          </w:p>
        </w:tc>
        <w:tc>
          <w:tcPr>
            <w:tcW w:w="1330"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3998"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Court terme</w:t>
            </w:r>
          </w:p>
        </w:tc>
        <w:tc>
          <w:tcPr>
            <w:tcW w:w="618"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1135"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Faible</w:t>
            </w:r>
          </w:p>
        </w:tc>
      </w:tr>
      <w:tr w:rsidR="002265D0">
        <w:tblPrEx>
          <w:tblBorders>
            <w:top w:val="none" w:sz="0" w:space="0" w:color="auto"/>
          </w:tblBorders>
          <w:tblCellMar>
            <w:top w:w="0" w:type="dxa"/>
            <w:bottom w:w="0" w:type="dxa"/>
          </w:tblCellMar>
        </w:tblPrEx>
        <w:tc>
          <w:tcPr>
            <w:tcW w:w="499" w:type="dxa"/>
            <w:tcBorders>
              <w:top w:val="single" w:sz="8" w:space="0" w:color="FFFFFF"/>
              <w:left w:val="single" w:sz="8" w:space="0" w:color="FFFFFF"/>
              <w:bottom w:val="single" w:sz="8" w:space="0" w:color="FFFFFF"/>
              <w:right w:val="single" w:sz="8" w:space="0" w:color="FFFFFF"/>
            </w:tcBorders>
            <w:shd w:val="clear" w:color="auto" w:fill="F0F0F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2837" w:type="dxa"/>
            <w:tcBorders>
              <w:top w:val="single" w:sz="8" w:space="0" w:color="FFFFFF"/>
              <w:left w:val="single" w:sz="8" w:space="0" w:color="FFFFFF"/>
              <w:bottom w:val="single" w:sz="8" w:space="0" w:color="FFFFFF"/>
              <w:right w:val="single" w:sz="8" w:space="0" w:color="FFFFFF"/>
            </w:tcBorders>
            <w:shd w:val="clear" w:color="auto" w:fill="F0F0F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Moyennement facile</w:t>
            </w:r>
          </w:p>
        </w:tc>
        <w:tc>
          <w:tcPr>
            <w:tcW w:w="1330" w:type="dxa"/>
            <w:tcBorders>
              <w:top w:val="single" w:sz="8" w:space="0" w:color="FFFFFF"/>
              <w:left w:val="single" w:sz="8" w:space="0" w:color="FFFFFF"/>
              <w:bottom w:val="single" w:sz="8" w:space="0" w:color="FFFFFF"/>
              <w:right w:val="single" w:sz="8" w:space="0" w:color="FFFFFF"/>
            </w:tcBorders>
            <w:shd w:val="clear" w:color="auto" w:fill="F0F0F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3998" w:type="dxa"/>
            <w:tcBorders>
              <w:top w:val="single" w:sz="8" w:space="0" w:color="FFFFFF"/>
              <w:left w:val="single" w:sz="8" w:space="0" w:color="FFFFFF"/>
              <w:bottom w:val="single" w:sz="8" w:space="0" w:color="FFFFFF"/>
              <w:right w:val="single" w:sz="8" w:space="0" w:color="FFFFFF"/>
            </w:tcBorders>
            <w:shd w:val="clear" w:color="auto" w:fill="F0F0F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Moyen terme</w:t>
            </w:r>
          </w:p>
        </w:tc>
        <w:tc>
          <w:tcPr>
            <w:tcW w:w="618" w:type="dxa"/>
            <w:tcBorders>
              <w:top w:val="single" w:sz="8" w:space="0" w:color="FFFFFF"/>
              <w:left w:val="single" w:sz="8" w:space="0" w:color="FFFFFF"/>
              <w:bottom w:val="single" w:sz="8" w:space="0" w:color="FFFFFF"/>
              <w:right w:val="single" w:sz="8" w:space="0" w:color="FFFFFF"/>
            </w:tcBorders>
            <w:shd w:val="clear" w:color="auto" w:fill="F0F0F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1135" w:type="dxa"/>
            <w:tcBorders>
              <w:top w:val="single" w:sz="8" w:space="0" w:color="FFFFFF"/>
              <w:left w:val="single" w:sz="8" w:space="0" w:color="FFFFFF"/>
              <w:bottom w:val="single" w:sz="8" w:space="0" w:color="FFFFFF"/>
              <w:right w:val="single" w:sz="8" w:space="0" w:color="FFFFFF"/>
            </w:tcBorders>
            <w:shd w:val="clear" w:color="auto" w:fill="F0F0F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Modéré</w:t>
            </w:r>
          </w:p>
        </w:tc>
      </w:tr>
      <w:tr w:rsidR="002265D0">
        <w:tblPrEx>
          <w:tblCellMar>
            <w:top w:w="0" w:type="dxa"/>
            <w:bottom w:w="0" w:type="dxa"/>
          </w:tblCellMar>
        </w:tblPrEx>
        <w:tc>
          <w:tcPr>
            <w:tcW w:w="499"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2837"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Difficile</w:t>
            </w:r>
          </w:p>
        </w:tc>
        <w:tc>
          <w:tcPr>
            <w:tcW w:w="1330"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3998"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Long terme</w:t>
            </w:r>
          </w:p>
        </w:tc>
        <w:tc>
          <w:tcPr>
            <w:tcW w:w="618"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1135"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Élevé</w:t>
            </w:r>
          </w:p>
        </w:tc>
      </w:tr>
    </w:tbl>
    <w:p w:rsidR="002265D0" w:rsidRDefault="002265D0" w:rsidP="002265D0">
      <w:pPr>
        <w:autoSpaceDE w:val="0"/>
        <w:autoSpaceDN w:val="0"/>
        <w:adjustRightInd w:val="0"/>
        <w:rPr>
          <w:rFonts w:ascii="Helvetica" w:hAnsi="Helvetica" w:cs="Helvetica"/>
          <w:color w:val="414142"/>
          <w:sz w:val="28"/>
          <w:szCs w:val="28"/>
        </w:rPr>
      </w:pPr>
      <w:r>
        <w:rPr>
          <w:rFonts w:ascii="Helvetica" w:hAnsi="Helvetica" w:cs="Helvetica"/>
          <w:color w:val="414142"/>
          <w:sz w:val="28"/>
          <w:szCs w:val="28"/>
        </w:rPr>
        <w:t> </w:t>
      </w:r>
    </w:p>
    <w:p w:rsidR="002265D0" w:rsidRDefault="002265D0" w:rsidP="002265D0">
      <w:pPr>
        <w:autoSpaceDE w:val="0"/>
        <w:autoSpaceDN w:val="0"/>
        <w:adjustRightInd w:val="0"/>
        <w:rPr>
          <w:rFonts w:ascii="Helvetica" w:hAnsi="Helvetica" w:cs="Helvetica"/>
          <w:b/>
          <w:bCs/>
          <w:color w:val="877364"/>
          <w:sz w:val="36"/>
          <w:szCs w:val="36"/>
        </w:rPr>
      </w:pPr>
      <w:r>
        <w:rPr>
          <w:rFonts w:ascii="Helvetica" w:hAnsi="Helvetica" w:cs="Helvetica"/>
          <w:b/>
          <w:bCs/>
          <w:color w:val="877364"/>
          <w:sz w:val="36"/>
          <w:szCs w:val="36"/>
        </w:rPr>
        <w:t>Agir sur la performance des équipements</w:t>
      </w:r>
    </w:p>
    <w:tbl>
      <w:tblPr>
        <w:tblW w:w="0" w:type="auto"/>
        <w:tblInd w:w="-118" w:type="dxa"/>
        <w:tblBorders>
          <w:top w:val="nil"/>
          <w:left w:val="nil"/>
          <w:right w:val="nil"/>
        </w:tblBorders>
        <w:tblLayout w:type="fixed"/>
        <w:tblLook w:val="0000" w:firstRow="0" w:lastRow="0" w:firstColumn="0" w:lastColumn="0" w:noHBand="0" w:noVBand="0"/>
      </w:tblPr>
      <w:tblGrid>
        <w:gridCol w:w="12836"/>
        <w:gridCol w:w="1022"/>
        <w:gridCol w:w="567"/>
        <w:gridCol w:w="851"/>
      </w:tblGrid>
      <w:tr w:rsidR="002265D0" w:rsidTr="002265D0">
        <w:tblPrEx>
          <w:tblCellMar>
            <w:top w:w="0" w:type="dxa"/>
            <w:bottom w:w="0" w:type="dxa"/>
          </w:tblCellMar>
        </w:tblPrEx>
        <w:tc>
          <w:tcPr>
            <w:tcW w:w="12836" w:type="dxa"/>
            <w:tcBorders>
              <w:top w:val="single" w:sz="8" w:space="0" w:color="FFFFFF"/>
              <w:left w:val="single" w:sz="8" w:space="0" w:color="FFFFFF"/>
              <w:bottom w:val="single" w:sz="8" w:space="0" w:color="FFFFFF"/>
              <w:right w:val="single" w:sz="8" w:space="0" w:color="FFFFFF"/>
            </w:tcBorders>
            <w:shd w:val="clear" w:color="auto" w:fill="877364"/>
            <w:tcMar>
              <w:top w:w="200" w:type="nil"/>
              <w:right w:w="200" w:type="nil"/>
            </w:tcMar>
            <w:vAlign w:val="center"/>
          </w:tcPr>
          <w:p w:rsidR="002265D0" w:rsidRDefault="002265D0">
            <w:pPr>
              <w:autoSpaceDE w:val="0"/>
              <w:autoSpaceDN w:val="0"/>
              <w:adjustRightInd w:val="0"/>
              <w:rPr>
                <w:rFonts w:ascii="Helvetica" w:hAnsi="Helvetica" w:cs="Helvetica"/>
                <w:b/>
                <w:bCs/>
                <w:color w:val="FFFFFF"/>
              </w:rPr>
            </w:pPr>
            <w:r>
              <w:rPr>
                <w:rFonts w:ascii="Helvetica" w:hAnsi="Helvetica" w:cs="Helvetica"/>
                <w:b/>
                <w:bCs/>
                <w:color w:val="FFFFFF"/>
              </w:rPr>
              <w:t> </w:t>
            </w:r>
          </w:p>
        </w:tc>
        <w:tc>
          <w:tcPr>
            <w:tcW w:w="1022" w:type="dxa"/>
            <w:tcBorders>
              <w:top w:val="single" w:sz="8" w:space="0" w:color="FFFFFF"/>
              <w:left w:val="single" w:sz="8" w:space="0" w:color="FFFFFF"/>
              <w:bottom w:val="single" w:sz="8" w:space="0" w:color="FFFFFF"/>
              <w:right w:val="single" w:sz="8" w:space="0" w:color="FFFFFF"/>
            </w:tcBorders>
            <w:shd w:val="clear" w:color="auto" w:fill="877364"/>
            <w:tcMar>
              <w:top w:w="200" w:type="nil"/>
              <w:right w:w="200" w:type="nil"/>
            </w:tcMar>
            <w:vAlign w:val="center"/>
          </w:tcPr>
          <w:p w:rsidR="002265D0" w:rsidRDefault="002265D0">
            <w:pPr>
              <w:autoSpaceDE w:val="0"/>
              <w:autoSpaceDN w:val="0"/>
              <w:adjustRightInd w:val="0"/>
              <w:rPr>
                <w:rFonts w:ascii="Helvetica" w:hAnsi="Helvetica" w:cs="Helvetica"/>
                <w:b/>
                <w:bCs/>
                <w:color w:val="FFFFFF"/>
              </w:rPr>
            </w:pPr>
            <w:r>
              <w:rPr>
                <w:rFonts w:ascii="Helvetica" w:hAnsi="Helvetica" w:cs="Helvetica"/>
                <w:b/>
                <w:bCs/>
                <w:color w:val="FFFFFF"/>
              </w:rPr>
              <w:t>Facilité</w:t>
            </w:r>
          </w:p>
        </w:tc>
        <w:tc>
          <w:tcPr>
            <w:tcW w:w="567" w:type="dxa"/>
            <w:tcBorders>
              <w:top w:val="single" w:sz="8" w:space="0" w:color="FFFFFF"/>
              <w:left w:val="single" w:sz="8" w:space="0" w:color="FFFFFF"/>
              <w:bottom w:val="single" w:sz="8" w:space="0" w:color="FFFFFF"/>
              <w:right w:val="single" w:sz="8" w:space="0" w:color="FFFFFF"/>
            </w:tcBorders>
            <w:shd w:val="clear" w:color="auto" w:fill="877364"/>
            <w:tcMar>
              <w:top w:w="200" w:type="nil"/>
              <w:right w:w="200" w:type="nil"/>
            </w:tcMar>
            <w:vAlign w:val="center"/>
          </w:tcPr>
          <w:p w:rsidR="002265D0" w:rsidRDefault="002265D0">
            <w:pPr>
              <w:autoSpaceDE w:val="0"/>
              <w:autoSpaceDN w:val="0"/>
              <w:adjustRightInd w:val="0"/>
              <w:rPr>
                <w:rFonts w:ascii="Helvetica" w:hAnsi="Helvetica" w:cs="Helvetica"/>
                <w:b/>
                <w:bCs/>
                <w:color w:val="FFFFFF"/>
              </w:rPr>
            </w:pPr>
            <w:r>
              <w:rPr>
                <w:rFonts w:ascii="Helvetica" w:hAnsi="Helvetica" w:cs="Helvetica"/>
                <w:b/>
                <w:bCs/>
                <w:color w:val="FFFFFF"/>
              </w:rPr>
              <w:t>TRI</w:t>
            </w:r>
          </w:p>
        </w:tc>
        <w:tc>
          <w:tcPr>
            <w:tcW w:w="851" w:type="dxa"/>
            <w:tcBorders>
              <w:top w:val="single" w:sz="8" w:space="0" w:color="FFFFFF"/>
              <w:left w:val="single" w:sz="8" w:space="0" w:color="FFFFFF"/>
              <w:bottom w:val="single" w:sz="8" w:space="0" w:color="FFFFFF"/>
              <w:right w:val="single" w:sz="8" w:space="0" w:color="FFFFFF"/>
            </w:tcBorders>
            <w:shd w:val="clear" w:color="auto" w:fill="877364"/>
            <w:tcMar>
              <w:top w:w="200" w:type="nil"/>
              <w:right w:w="200" w:type="nil"/>
            </w:tcMar>
            <w:vAlign w:val="center"/>
          </w:tcPr>
          <w:p w:rsidR="002265D0" w:rsidRDefault="002265D0">
            <w:pPr>
              <w:autoSpaceDE w:val="0"/>
              <w:autoSpaceDN w:val="0"/>
              <w:adjustRightInd w:val="0"/>
              <w:rPr>
                <w:rFonts w:ascii="Helvetica" w:hAnsi="Helvetica" w:cs="Helvetica"/>
                <w:b/>
                <w:bCs/>
                <w:color w:val="FFFFFF"/>
              </w:rPr>
            </w:pPr>
            <w:r>
              <w:rPr>
                <w:rFonts w:ascii="Helvetica" w:hAnsi="Helvetica" w:cs="Helvetica"/>
                <w:b/>
                <w:bCs/>
                <w:color w:val="FFFFFF"/>
              </w:rPr>
              <w:t>Coût</w:t>
            </w:r>
          </w:p>
        </w:tc>
      </w:tr>
      <w:tr w:rsidR="002265D0" w:rsidTr="002265D0">
        <w:tblPrEx>
          <w:tblBorders>
            <w:top w:val="none" w:sz="0" w:space="0" w:color="auto"/>
          </w:tblBorders>
          <w:tblCellMar>
            <w:top w:w="0" w:type="dxa"/>
            <w:bottom w:w="0" w:type="dxa"/>
          </w:tblCellMar>
        </w:tblPrEx>
        <w:tc>
          <w:tcPr>
            <w:tcW w:w="12836"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rPr>
                <w:rFonts w:ascii="Helvetica" w:hAnsi="Helvetica" w:cs="Helvetica"/>
                <w:color w:val="414142"/>
              </w:rPr>
            </w:pPr>
            <w:r>
              <w:rPr>
                <w:rFonts w:ascii="Helvetica" w:hAnsi="Helvetica" w:cs="Helvetica"/>
                <w:color w:val="414142"/>
              </w:rPr>
              <w:t xml:space="preserve">Choisir des moteurs asynchrones à haut rendement. Le rendement est normalisé par une classe allant de IE1 à IE3, défini selon la </w:t>
            </w:r>
            <w:hyperlink r:id="rId24" w:history="1">
              <w:r>
                <w:rPr>
                  <w:rFonts w:ascii="Helvetica" w:hAnsi="Helvetica" w:cs="Helvetica"/>
                  <w:color w:val="414142"/>
                  <w:u w:val="single"/>
                </w:rPr>
                <w:t>norme CEI 60034-30</w:t>
              </w:r>
            </w:hyperlink>
            <w:r>
              <w:rPr>
                <w:rFonts w:ascii="Helvetica" w:hAnsi="Helvetica" w:cs="Helvetica"/>
                <w:color w:val="414142"/>
              </w:rPr>
              <w:t xml:space="preserve"> pour les moteurs de moins de 375 kW. Le </w:t>
            </w:r>
            <w:hyperlink r:id="rId25" w:history="1">
              <w:r>
                <w:rPr>
                  <w:rFonts w:ascii="Helvetica" w:hAnsi="Helvetica" w:cs="Helvetica"/>
                  <w:color w:val="414142"/>
                  <w:u w:val="single"/>
                </w:rPr>
                <w:t>règlement européen N°4/2014</w:t>
              </w:r>
            </w:hyperlink>
            <w:r>
              <w:rPr>
                <w:rFonts w:ascii="Helvetica" w:hAnsi="Helvetica" w:cs="Helvetica"/>
                <w:color w:val="414142"/>
              </w:rPr>
              <w:t xml:space="preserve"> (PDF - 708 Ko) impose le rendement minimum IE2 pour les moteurs mis sur le marché depuis le 16 juin 2011.</w:t>
            </w:r>
          </w:p>
          <w:p w:rsidR="002265D0" w:rsidRDefault="002265D0">
            <w:pPr>
              <w:autoSpaceDE w:val="0"/>
              <w:autoSpaceDN w:val="0"/>
              <w:adjustRightInd w:val="0"/>
              <w:rPr>
                <w:rFonts w:ascii="Helvetica" w:hAnsi="Helvetica" w:cs="Helvetica"/>
                <w:color w:val="414142"/>
              </w:rPr>
            </w:pPr>
            <w:r>
              <w:rPr>
                <w:rFonts w:ascii="Helvetica" w:hAnsi="Helvetica" w:cs="Helvetica"/>
                <w:color w:val="414142"/>
              </w:rPr>
              <w:t xml:space="preserve">La classe la plus performante est la classe IE3. Les moto-variateurs synchrones à aimants permanents, tout comme les moteurs IE3, sont éligibles aux </w:t>
            </w:r>
            <w:hyperlink r:id="rId26" w:history="1">
              <w:r>
                <w:rPr>
                  <w:rFonts w:ascii="Helvetica" w:hAnsi="Helvetica" w:cs="Helvetica"/>
                  <w:color w:val="414142"/>
                  <w:u w:val="single"/>
                </w:rPr>
                <w:t>Certificats d'économies d'énergie</w:t>
              </w:r>
            </w:hyperlink>
            <w:r>
              <w:rPr>
                <w:rFonts w:ascii="Helvetica" w:hAnsi="Helvetica" w:cs="Helvetica"/>
                <w:color w:val="414142"/>
              </w:rPr>
              <w:t xml:space="preserve"> (CEE) avec les </w:t>
            </w:r>
            <w:r>
              <w:rPr>
                <w:rFonts w:ascii="Helvetica" w:hAnsi="Helvetica" w:cs="Helvetica"/>
                <w:b/>
                <w:bCs/>
                <w:color w:val="414142"/>
              </w:rPr>
              <w:t>fiches IND-UT-123 et IND-UT-114</w:t>
            </w:r>
            <w:r>
              <w:rPr>
                <w:rFonts w:ascii="Helvetica" w:hAnsi="Helvetica" w:cs="Helvetica"/>
                <w:color w:val="414142"/>
              </w:rPr>
              <w:t>.</w:t>
            </w:r>
          </w:p>
        </w:tc>
        <w:tc>
          <w:tcPr>
            <w:tcW w:w="1022"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567"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851"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r>
      <w:tr w:rsidR="002265D0" w:rsidTr="002265D0">
        <w:tblPrEx>
          <w:tblBorders>
            <w:top w:val="none" w:sz="0" w:space="0" w:color="auto"/>
          </w:tblBorders>
          <w:tblCellMar>
            <w:top w:w="0" w:type="dxa"/>
            <w:bottom w:w="0" w:type="dxa"/>
          </w:tblCellMar>
        </w:tblPrEx>
        <w:tc>
          <w:tcPr>
            <w:tcW w:w="12836" w:type="dxa"/>
            <w:tcBorders>
              <w:top w:val="single" w:sz="8" w:space="0" w:color="FFFFFF"/>
              <w:left w:val="single" w:sz="8" w:space="0" w:color="FFFFFF"/>
              <w:bottom w:val="single" w:sz="8" w:space="0" w:color="FFFFFF"/>
              <w:right w:val="single" w:sz="8" w:space="0" w:color="FFFFFF"/>
            </w:tcBorders>
            <w:shd w:val="clear" w:color="auto" w:fill="F0F0F0"/>
            <w:tcMar>
              <w:top w:w="200" w:type="nil"/>
              <w:left w:w="200" w:type="nil"/>
              <w:bottom w:w="200" w:type="nil"/>
              <w:right w:w="200" w:type="nil"/>
            </w:tcMar>
            <w:vAlign w:val="center"/>
          </w:tcPr>
          <w:p w:rsidR="002265D0" w:rsidRDefault="002265D0">
            <w:pPr>
              <w:autoSpaceDE w:val="0"/>
              <w:autoSpaceDN w:val="0"/>
              <w:adjustRightInd w:val="0"/>
              <w:rPr>
                <w:rFonts w:ascii="Helvetica" w:hAnsi="Helvetica" w:cs="Helvetica"/>
                <w:color w:val="414142"/>
              </w:rPr>
            </w:pPr>
            <w:r>
              <w:rPr>
                <w:rFonts w:ascii="Helvetica" w:hAnsi="Helvetica" w:cs="Helvetica"/>
                <w:color w:val="414142"/>
              </w:rPr>
              <w:t>Éviter le surdimensionnement des moteurs et les remplacer par des moteurs mieux dimensionnés lorsque l’occasion se présente. Un fonctionnement à régime nominal permet au moteur d’opérer dans la plage de rendement maximal. À faible charge, le facteur de puissance du moteur est bas, ce qui implique aussi des pertes dans les lignes et dans les transformateurs.</w:t>
            </w:r>
          </w:p>
        </w:tc>
        <w:tc>
          <w:tcPr>
            <w:tcW w:w="1022" w:type="dxa"/>
            <w:tcBorders>
              <w:top w:val="single" w:sz="8" w:space="0" w:color="FFFFFF"/>
              <w:left w:val="single" w:sz="8" w:space="0" w:color="FFFFFF"/>
              <w:bottom w:val="single" w:sz="8" w:space="0" w:color="FFFFFF"/>
              <w:right w:val="single" w:sz="8" w:space="0" w:color="FFFFFF"/>
            </w:tcBorders>
            <w:shd w:val="clear" w:color="auto" w:fill="F0F0F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567" w:type="dxa"/>
            <w:tcBorders>
              <w:top w:val="single" w:sz="8" w:space="0" w:color="FFFFFF"/>
              <w:left w:val="single" w:sz="8" w:space="0" w:color="FFFFFF"/>
              <w:bottom w:val="single" w:sz="8" w:space="0" w:color="FFFFFF"/>
              <w:right w:val="single" w:sz="8" w:space="0" w:color="FFFFFF"/>
            </w:tcBorders>
            <w:shd w:val="clear" w:color="auto" w:fill="F0F0F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851" w:type="dxa"/>
            <w:tcBorders>
              <w:top w:val="single" w:sz="8" w:space="0" w:color="FFFFFF"/>
              <w:left w:val="single" w:sz="8" w:space="0" w:color="FFFFFF"/>
              <w:bottom w:val="single" w:sz="8" w:space="0" w:color="FFFFFF"/>
              <w:right w:val="single" w:sz="8" w:space="0" w:color="FFFFFF"/>
            </w:tcBorders>
            <w:shd w:val="clear" w:color="auto" w:fill="F0F0F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r>
      <w:tr w:rsidR="002265D0" w:rsidTr="002265D0">
        <w:tblPrEx>
          <w:tblBorders>
            <w:top w:val="none" w:sz="0" w:space="0" w:color="auto"/>
          </w:tblBorders>
          <w:tblCellMar>
            <w:top w:w="0" w:type="dxa"/>
            <w:bottom w:w="0" w:type="dxa"/>
          </w:tblCellMar>
        </w:tblPrEx>
        <w:tc>
          <w:tcPr>
            <w:tcW w:w="12836"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rPr>
                <w:rFonts w:ascii="Helvetica" w:hAnsi="Helvetica" w:cs="Helvetica"/>
                <w:color w:val="414142"/>
              </w:rPr>
            </w:pPr>
            <w:r>
              <w:rPr>
                <w:rFonts w:ascii="Helvetica" w:hAnsi="Helvetica" w:cs="Helvetica"/>
                <w:color w:val="414142"/>
              </w:rPr>
              <w:t xml:space="preserve">Quand cela est possible, remplacer les transmissions indirectes (courroies plates, courroies trapézoïdales, engrenage hélicoïdaux…) par un accouplement direct, diminuant ainsi les pertes liées aux transmissions. De telles actions sont éligibles aux CEE avec la </w:t>
            </w:r>
            <w:r>
              <w:rPr>
                <w:rFonts w:ascii="Helvetica" w:hAnsi="Helvetica" w:cs="Helvetica"/>
                <w:b/>
                <w:bCs/>
                <w:color w:val="414142"/>
              </w:rPr>
              <w:t>fiche IND-UT-127</w:t>
            </w:r>
            <w:r>
              <w:rPr>
                <w:rFonts w:ascii="Helvetica" w:hAnsi="Helvetica" w:cs="Helvetica"/>
                <w:color w:val="414142"/>
              </w:rPr>
              <w:t>.</w:t>
            </w:r>
          </w:p>
        </w:tc>
        <w:tc>
          <w:tcPr>
            <w:tcW w:w="1022"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567"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851"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r>
      <w:tr w:rsidR="002265D0" w:rsidTr="002265D0">
        <w:tblPrEx>
          <w:tblCellMar>
            <w:top w:w="0" w:type="dxa"/>
            <w:bottom w:w="0" w:type="dxa"/>
          </w:tblCellMar>
        </w:tblPrEx>
        <w:tc>
          <w:tcPr>
            <w:tcW w:w="12836" w:type="dxa"/>
            <w:tcBorders>
              <w:top w:val="single" w:sz="8" w:space="0" w:color="FFFFFF"/>
              <w:left w:val="single" w:sz="8" w:space="0" w:color="FFFFFF"/>
              <w:bottom w:val="single" w:sz="8" w:space="0" w:color="FFFFFF"/>
              <w:right w:val="single" w:sz="8" w:space="0" w:color="FFFFFF"/>
            </w:tcBorders>
            <w:shd w:val="clear" w:color="auto" w:fill="F0F0F0"/>
            <w:tcMar>
              <w:top w:w="200" w:type="nil"/>
              <w:left w:w="200" w:type="nil"/>
              <w:bottom w:w="200" w:type="nil"/>
              <w:right w:w="200" w:type="nil"/>
            </w:tcMar>
            <w:vAlign w:val="center"/>
          </w:tcPr>
          <w:p w:rsidR="002265D0" w:rsidRDefault="002265D0">
            <w:pPr>
              <w:autoSpaceDE w:val="0"/>
              <w:autoSpaceDN w:val="0"/>
              <w:adjustRightInd w:val="0"/>
              <w:rPr>
                <w:rFonts w:ascii="Helvetica" w:hAnsi="Helvetica" w:cs="Helvetica"/>
                <w:color w:val="414142"/>
              </w:rPr>
            </w:pPr>
            <w:r>
              <w:rPr>
                <w:rFonts w:ascii="Helvetica" w:hAnsi="Helvetica" w:cs="Helvetica"/>
                <w:color w:val="414142"/>
              </w:rPr>
              <w:t>Si l’accouplement direct n’est pas possible, préférer les courroies plates aux courroies trapézoïdales. Par ailleurs, un ajustement de la tension des courroies peut permettre d’atteindre un gain de 1 à 5 % de la consommation du moteur.</w:t>
            </w:r>
          </w:p>
        </w:tc>
        <w:tc>
          <w:tcPr>
            <w:tcW w:w="1022" w:type="dxa"/>
            <w:tcBorders>
              <w:top w:val="single" w:sz="8" w:space="0" w:color="FFFFFF"/>
              <w:left w:val="single" w:sz="8" w:space="0" w:color="FFFFFF"/>
              <w:bottom w:val="single" w:sz="8" w:space="0" w:color="FFFFFF"/>
              <w:right w:val="single" w:sz="8" w:space="0" w:color="FFFFFF"/>
            </w:tcBorders>
            <w:shd w:val="clear" w:color="auto" w:fill="F0F0F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567" w:type="dxa"/>
            <w:tcBorders>
              <w:top w:val="single" w:sz="8" w:space="0" w:color="FFFFFF"/>
              <w:left w:val="single" w:sz="8" w:space="0" w:color="FFFFFF"/>
              <w:bottom w:val="single" w:sz="8" w:space="0" w:color="FFFFFF"/>
              <w:right w:val="single" w:sz="8" w:space="0" w:color="FFFFFF"/>
            </w:tcBorders>
            <w:shd w:val="clear" w:color="auto" w:fill="F0F0F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 +</w:t>
            </w:r>
          </w:p>
        </w:tc>
        <w:tc>
          <w:tcPr>
            <w:tcW w:w="851" w:type="dxa"/>
            <w:tcBorders>
              <w:top w:val="single" w:sz="8" w:space="0" w:color="FFFFFF"/>
              <w:left w:val="single" w:sz="8" w:space="0" w:color="FFFFFF"/>
              <w:bottom w:val="single" w:sz="8" w:space="0" w:color="FFFFFF"/>
              <w:right w:val="single" w:sz="8" w:space="0" w:color="FFFFFF"/>
            </w:tcBorders>
            <w:shd w:val="clear" w:color="auto" w:fill="F0F0F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r>
    </w:tbl>
    <w:p w:rsidR="002265D0" w:rsidRDefault="002265D0" w:rsidP="002265D0">
      <w:pPr>
        <w:autoSpaceDE w:val="0"/>
        <w:autoSpaceDN w:val="0"/>
        <w:adjustRightInd w:val="0"/>
        <w:rPr>
          <w:rFonts w:ascii="Helvetica" w:hAnsi="Helvetica" w:cs="Helvetica"/>
          <w:color w:val="414142"/>
          <w:sz w:val="28"/>
          <w:szCs w:val="28"/>
        </w:rPr>
      </w:pPr>
      <w:r>
        <w:rPr>
          <w:rFonts w:ascii="Helvetica" w:hAnsi="Helvetica" w:cs="Helvetica"/>
          <w:color w:val="414142"/>
          <w:sz w:val="28"/>
          <w:szCs w:val="28"/>
        </w:rPr>
        <w:t> </w:t>
      </w:r>
    </w:p>
    <w:p w:rsidR="002265D0" w:rsidRDefault="002265D0" w:rsidP="002265D0">
      <w:pPr>
        <w:autoSpaceDE w:val="0"/>
        <w:autoSpaceDN w:val="0"/>
        <w:adjustRightInd w:val="0"/>
        <w:rPr>
          <w:rFonts w:ascii="Helvetica" w:hAnsi="Helvetica" w:cs="Helvetica"/>
          <w:color w:val="414142"/>
          <w:sz w:val="28"/>
          <w:szCs w:val="28"/>
        </w:rPr>
      </w:pPr>
    </w:p>
    <w:p w:rsidR="002265D0" w:rsidRDefault="002265D0" w:rsidP="002265D0">
      <w:pPr>
        <w:autoSpaceDE w:val="0"/>
        <w:autoSpaceDN w:val="0"/>
        <w:adjustRightInd w:val="0"/>
        <w:rPr>
          <w:rFonts w:ascii="Helvetica" w:hAnsi="Helvetica" w:cs="Helvetica"/>
          <w:color w:val="414142"/>
          <w:sz w:val="28"/>
          <w:szCs w:val="28"/>
        </w:rPr>
      </w:pPr>
    </w:p>
    <w:p w:rsidR="002265D0" w:rsidRDefault="002265D0" w:rsidP="002265D0">
      <w:pPr>
        <w:autoSpaceDE w:val="0"/>
        <w:autoSpaceDN w:val="0"/>
        <w:adjustRightInd w:val="0"/>
        <w:rPr>
          <w:rFonts w:ascii="Helvetica" w:hAnsi="Helvetica" w:cs="Helvetica"/>
          <w:color w:val="414142"/>
          <w:sz w:val="28"/>
          <w:szCs w:val="28"/>
        </w:rPr>
      </w:pPr>
    </w:p>
    <w:p w:rsidR="002265D0" w:rsidRDefault="002265D0" w:rsidP="002265D0">
      <w:pPr>
        <w:autoSpaceDE w:val="0"/>
        <w:autoSpaceDN w:val="0"/>
        <w:adjustRightInd w:val="0"/>
        <w:rPr>
          <w:rFonts w:ascii="Helvetica" w:hAnsi="Helvetica" w:cs="Helvetica"/>
          <w:color w:val="414142"/>
          <w:sz w:val="28"/>
          <w:szCs w:val="28"/>
        </w:rPr>
      </w:pPr>
    </w:p>
    <w:p w:rsidR="00421F2D" w:rsidRDefault="00421F2D" w:rsidP="002265D0">
      <w:pPr>
        <w:autoSpaceDE w:val="0"/>
        <w:autoSpaceDN w:val="0"/>
        <w:adjustRightInd w:val="0"/>
        <w:rPr>
          <w:rFonts w:ascii="Helvetica" w:hAnsi="Helvetica" w:cs="Helvetica"/>
          <w:color w:val="414142"/>
          <w:sz w:val="28"/>
          <w:szCs w:val="28"/>
        </w:rPr>
      </w:pPr>
    </w:p>
    <w:p w:rsidR="00421F2D" w:rsidRDefault="00421F2D" w:rsidP="002265D0">
      <w:pPr>
        <w:autoSpaceDE w:val="0"/>
        <w:autoSpaceDN w:val="0"/>
        <w:adjustRightInd w:val="0"/>
        <w:rPr>
          <w:rFonts w:ascii="Helvetica" w:hAnsi="Helvetica" w:cs="Helvetica"/>
          <w:color w:val="414142"/>
          <w:sz w:val="28"/>
          <w:szCs w:val="28"/>
        </w:rPr>
      </w:pPr>
    </w:p>
    <w:p w:rsidR="002265D0" w:rsidRDefault="002265D0" w:rsidP="002265D0">
      <w:pPr>
        <w:autoSpaceDE w:val="0"/>
        <w:autoSpaceDN w:val="0"/>
        <w:adjustRightInd w:val="0"/>
        <w:rPr>
          <w:rFonts w:ascii="Helvetica" w:hAnsi="Helvetica" w:cs="Helvetica"/>
          <w:b/>
          <w:bCs/>
          <w:color w:val="877364"/>
          <w:sz w:val="36"/>
          <w:szCs w:val="36"/>
        </w:rPr>
      </w:pPr>
      <w:r>
        <w:rPr>
          <w:rFonts w:ascii="Helvetica" w:hAnsi="Helvetica" w:cs="Helvetica"/>
          <w:b/>
          <w:bCs/>
          <w:color w:val="877364"/>
          <w:sz w:val="36"/>
          <w:szCs w:val="36"/>
        </w:rPr>
        <w:lastRenderedPageBreak/>
        <w:t>Agir sur le pilotage de l'installation</w:t>
      </w:r>
    </w:p>
    <w:tbl>
      <w:tblPr>
        <w:tblpPr w:leftFromText="141" w:rightFromText="141" w:vertAnchor="text" w:tblpY="1"/>
        <w:tblOverlap w:val="never"/>
        <w:tblW w:w="0" w:type="auto"/>
        <w:tblBorders>
          <w:top w:val="nil"/>
          <w:left w:val="nil"/>
          <w:right w:val="nil"/>
        </w:tblBorders>
        <w:tblLayout w:type="fixed"/>
        <w:tblLook w:val="0000" w:firstRow="0" w:lastRow="0" w:firstColumn="0" w:lastColumn="0" w:noHBand="0" w:noVBand="0"/>
      </w:tblPr>
      <w:tblGrid>
        <w:gridCol w:w="12836"/>
        <w:gridCol w:w="783"/>
        <w:gridCol w:w="972"/>
        <w:gridCol w:w="708"/>
      </w:tblGrid>
      <w:tr w:rsidR="002265D0" w:rsidTr="002265D0">
        <w:tblPrEx>
          <w:tblCellMar>
            <w:top w:w="0" w:type="dxa"/>
            <w:bottom w:w="0" w:type="dxa"/>
          </w:tblCellMar>
        </w:tblPrEx>
        <w:tc>
          <w:tcPr>
            <w:tcW w:w="12836" w:type="dxa"/>
            <w:tcBorders>
              <w:top w:val="single" w:sz="8" w:space="0" w:color="FFFFFF"/>
              <w:left w:val="single" w:sz="8" w:space="0" w:color="FFFFFF"/>
              <w:bottom w:val="single" w:sz="8" w:space="0" w:color="FFFFFF"/>
              <w:right w:val="single" w:sz="8" w:space="0" w:color="FFFFFF"/>
            </w:tcBorders>
            <w:shd w:val="clear" w:color="auto" w:fill="877364"/>
            <w:tcMar>
              <w:top w:w="200" w:type="nil"/>
              <w:right w:w="200" w:type="nil"/>
            </w:tcMar>
            <w:vAlign w:val="center"/>
          </w:tcPr>
          <w:p w:rsidR="002265D0" w:rsidRDefault="002265D0" w:rsidP="002265D0">
            <w:pPr>
              <w:autoSpaceDE w:val="0"/>
              <w:autoSpaceDN w:val="0"/>
              <w:adjustRightInd w:val="0"/>
              <w:rPr>
                <w:rFonts w:ascii="Helvetica" w:hAnsi="Helvetica" w:cs="Helvetica"/>
                <w:b/>
                <w:bCs/>
                <w:color w:val="FFFFFF"/>
              </w:rPr>
            </w:pPr>
            <w:r>
              <w:rPr>
                <w:rFonts w:ascii="Helvetica" w:hAnsi="Helvetica" w:cs="Helvetica"/>
                <w:b/>
                <w:bCs/>
                <w:color w:val="FFFFFF"/>
              </w:rPr>
              <w:t> </w:t>
            </w:r>
          </w:p>
        </w:tc>
        <w:tc>
          <w:tcPr>
            <w:tcW w:w="783" w:type="dxa"/>
            <w:tcBorders>
              <w:top w:val="single" w:sz="8" w:space="0" w:color="FFFFFF"/>
              <w:left w:val="single" w:sz="8" w:space="0" w:color="FFFFFF"/>
              <w:bottom w:val="single" w:sz="8" w:space="0" w:color="FFFFFF"/>
              <w:right w:val="single" w:sz="8" w:space="0" w:color="FFFFFF"/>
            </w:tcBorders>
            <w:shd w:val="clear" w:color="auto" w:fill="877364"/>
            <w:tcMar>
              <w:top w:w="200" w:type="nil"/>
              <w:right w:w="200" w:type="nil"/>
            </w:tcMar>
            <w:vAlign w:val="center"/>
          </w:tcPr>
          <w:p w:rsidR="002265D0" w:rsidRDefault="002265D0" w:rsidP="002265D0">
            <w:pPr>
              <w:autoSpaceDE w:val="0"/>
              <w:autoSpaceDN w:val="0"/>
              <w:adjustRightInd w:val="0"/>
              <w:rPr>
                <w:rFonts w:ascii="Helvetica" w:hAnsi="Helvetica" w:cs="Helvetica"/>
                <w:b/>
                <w:bCs/>
                <w:color w:val="FFFFFF"/>
              </w:rPr>
            </w:pPr>
            <w:r>
              <w:rPr>
                <w:rFonts w:ascii="Helvetica" w:hAnsi="Helvetica" w:cs="Helvetica"/>
                <w:b/>
                <w:bCs/>
                <w:color w:val="FFFFFF"/>
              </w:rPr>
              <w:t>Facilité</w:t>
            </w:r>
          </w:p>
        </w:tc>
        <w:tc>
          <w:tcPr>
            <w:tcW w:w="972" w:type="dxa"/>
            <w:tcBorders>
              <w:top w:val="single" w:sz="8" w:space="0" w:color="FFFFFF"/>
              <w:left w:val="single" w:sz="8" w:space="0" w:color="FFFFFF"/>
              <w:bottom w:val="single" w:sz="8" w:space="0" w:color="FFFFFF"/>
              <w:right w:val="single" w:sz="8" w:space="0" w:color="FFFFFF"/>
            </w:tcBorders>
            <w:shd w:val="clear" w:color="auto" w:fill="877364"/>
            <w:tcMar>
              <w:top w:w="200" w:type="nil"/>
              <w:right w:w="200" w:type="nil"/>
            </w:tcMar>
            <w:vAlign w:val="center"/>
          </w:tcPr>
          <w:p w:rsidR="002265D0" w:rsidRDefault="002265D0" w:rsidP="002265D0">
            <w:pPr>
              <w:autoSpaceDE w:val="0"/>
              <w:autoSpaceDN w:val="0"/>
              <w:adjustRightInd w:val="0"/>
              <w:rPr>
                <w:rFonts w:ascii="Helvetica" w:hAnsi="Helvetica" w:cs="Helvetica"/>
                <w:b/>
                <w:bCs/>
                <w:color w:val="FFFFFF"/>
              </w:rPr>
            </w:pPr>
            <w:r>
              <w:rPr>
                <w:rFonts w:ascii="Helvetica" w:hAnsi="Helvetica" w:cs="Helvetica"/>
                <w:b/>
                <w:bCs/>
                <w:color w:val="FFFFFF"/>
              </w:rPr>
              <w:t>TRI</w:t>
            </w:r>
          </w:p>
        </w:tc>
        <w:tc>
          <w:tcPr>
            <w:tcW w:w="708" w:type="dxa"/>
            <w:tcBorders>
              <w:top w:val="single" w:sz="8" w:space="0" w:color="FFFFFF"/>
              <w:left w:val="single" w:sz="8" w:space="0" w:color="FFFFFF"/>
              <w:bottom w:val="single" w:sz="8" w:space="0" w:color="FFFFFF"/>
              <w:right w:val="single" w:sz="8" w:space="0" w:color="FFFFFF"/>
            </w:tcBorders>
            <w:shd w:val="clear" w:color="auto" w:fill="877364"/>
            <w:tcMar>
              <w:top w:w="200" w:type="nil"/>
              <w:right w:w="200" w:type="nil"/>
            </w:tcMar>
            <w:vAlign w:val="center"/>
          </w:tcPr>
          <w:p w:rsidR="002265D0" w:rsidRDefault="002265D0" w:rsidP="002265D0">
            <w:pPr>
              <w:autoSpaceDE w:val="0"/>
              <w:autoSpaceDN w:val="0"/>
              <w:adjustRightInd w:val="0"/>
              <w:rPr>
                <w:rFonts w:ascii="Helvetica" w:hAnsi="Helvetica" w:cs="Helvetica"/>
                <w:b/>
                <w:bCs/>
                <w:color w:val="FFFFFF"/>
              </w:rPr>
            </w:pPr>
            <w:r>
              <w:rPr>
                <w:rFonts w:ascii="Helvetica" w:hAnsi="Helvetica" w:cs="Helvetica"/>
                <w:b/>
                <w:bCs/>
                <w:color w:val="FFFFFF"/>
              </w:rPr>
              <w:t>Coût</w:t>
            </w:r>
          </w:p>
        </w:tc>
      </w:tr>
      <w:tr w:rsidR="002265D0" w:rsidTr="002265D0">
        <w:tblPrEx>
          <w:tblBorders>
            <w:top w:val="none" w:sz="0" w:space="0" w:color="auto"/>
          </w:tblBorders>
          <w:tblCellMar>
            <w:top w:w="0" w:type="dxa"/>
            <w:bottom w:w="0" w:type="dxa"/>
          </w:tblCellMar>
        </w:tblPrEx>
        <w:tc>
          <w:tcPr>
            <w:tcW w:w="12836"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rsidP="002265D0">
            <w:pPr>
              <w:autoSpaceDE w:val="0"/>
              <w:autoSpaceDN w:val="0"/>
              <w:adjustRightInd w:val="0"/>
              <w:rPr>
                <w:rFonts w:ascii="Helvetica" w:hAnsi="Helvetica" w:cs="Helvetica"/>
                <w:color w:val="414142"/>
              </w:rPr>
            </w:pPr>
            <w:r>
              <w:rPr>
                <w:rFonts w:ascii="Helvetica" w:hAnsi="Helvetica" w:cs="Helvetica"/>
                <w:color w:val="414142"/>
              </w:rPr>
              <w:t>Arrêter les moteurs lorsque leur utilisation n’est pas nécessaire. Utiliser des horloges ou des automates programmables.</w:t>
            </w:r>
          </w:p>
        </w:tc>
        <w:tc>
          <w:tcPr>
            <w:tcW w:w="783"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rsidP="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972"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rsidP="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708"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rsidP="002265D0">
            <w:pPr>
              <w:autoSpaceDE w:val="0"/>
              <w:autoSpaceDN w:val="0"/>
              <w:adjustRightInd w:val="0"/>
              <w:jc w:val="center"/>
              <w:rPr>
                <w:rFonts w:ascii="Helvetica" w:hAnsi="Helvetica" w:cs="Helvetica"/>
                <w:color w:val="414142"/>
              </w:rPr>
            </w:pPr>
            <w:r>
              <w:rPr>
                <w:rFonts w:ascii="Helvetica" w:hAnsi="Helvetica" w:cs="Helvetica"/>
                <w:color w:val="414142"/>
              </w:rPr>
              <w:t>€</w:t>
            </w:r>
          </w:p>
        </w:tc>
      </w:tr>
      <w:tr w:rsidR="002265D0" w:rsidTr="002265D0">
        <w:tblPrEx>
          <w:tblBorders>
            <w:top w:val="none" w:sz="0" w:space="0" w:color="auto"/>
          </w:tblBorders>
          <w:tblCellMar>
            <w:top w:w="0" w:type="dxa"/>
            <w:bottom w:w="0" w:type="dxa"/>
          </w:tblCellMar>
        </w:tblPrEx>
        <w:tc>
          <w:tcPr>
            <w:tcW w:w="12836" w:type="dxa"/>
            <w:tcBorders>
              <w:top w:val="single" w:sz="8" w:space="0" w:color="FFFFFF"/>
              <w:left w:val="single" w:sz="8" w:space="0" w:color="FFFFFF"/>
              <w:bottom w:val="single" w:sz="8" w:space="0" w:color="FFFFFF"/>
              <w:right w:val="single" w:sz="8" w:space="0" w:color="FFFFFF"/>
            </w:tcBorders>
            <w:shd w:val="clear" w:color="auto" w:fill="F0F0F0"/>
            <w:tcMar>
              <w:top w:w="200" w:type="nil"/>
              <w:left w:w="200" w:type="nil"/>
              <w:bottom w:w="200" w:type="nil"/>
              <w:right w:w="200" w:type="nil"/>
            </w:tcMar>
            <w:vAlign w:val="center"/>
          </w:tcPr>
          <w:p w:rsidR="002265D0" w:rsidRDefault="002265D0" w:rsidP="002265D0">
            <w:pPr>
              <w:autoSpaceDE w:val="0"/>
              <w:autoSpaceDN w:val="0"/>
              <w:adjustRightInd w:val="0"/>
              <w:rPr>
                <w:rFonts w:ascii="Helvetica" w:hAnsi="Helvetica" w:cs="Helvetica"/>
                <w:color w:val="414142"/>
              </w:rPr>
            </w:pPr>
            <w:r>
              <w:rPr>
                <w:rFonts w:ascii="Helvetica" w:hAnsi="Helvetica" w:cs="Helvetica"/>
                <w:color w:val="414142"/>
              </w:rPr>
              <w:t xml:space="preserve">Installer une variation électronique de vitesse sur un moteur pour optimiser sa consommation électrique et le contrôle du procédé en adaptant la vitesse de rotation au besoin réel. La fatigue des équipements est amoindrie et le bruit du moteur est diminué. Des économies d’énergie de 20 à 50 % sur la consommation du moteur sont envisageables. Cette opération est éligible aux CEE avec la </w:t>
            </w:r>
            <w:r>
              <w:rPr>
                <w:rFonts w:ascii="Helvetica" w:hAnsi="Helvetica" w:cs="Helvetica"/>
                <w:b/>
                <w:bCs/>
                <w:color w:val="414142"/>
              </w:rPr>
              <w:t>fiche IND-UT-102</w:t>
            </w:r>
            <w:r>
              <w:rPr>
                <w:rFonts w:ascii="Helvetica" w:hAnsi="Helvetica" w:cs="Helvetica"/>
                <w:color w:val="414142"/>
              </w:rPr>
              <w:t>.</w:t>
            </w:r>
          </w:p>
        </w:tc>
        <w:tc>
          <w:tcPr>
            <w:tcW w:w="783" w:type="dxa"/>
            <w:tcBorders>
              <w:top w:val="single" w:sz="8" w:space="0" w:color="FFFFFF"/>
              <w:left w:val="single" w:sz="8" w:space="0" w:color="FFFFFF"/>
              <w:bottom w:val="single" w:sz="8" w:space="0" w:color="FFFFFF"/>
              <w:right w:val="single" w:sz="8" w:space="0" w:color="FFFFFF"/>
            </w:tcBorders>
            <w:shd w:val="clear" w:color="auto" w:fill="F0F0F0"/>
            <w:tcMar>
              <w:top w:w="200" w:type="nil"/>
              <w:left w:w="200" w:type="nil"/>
              <w:bottom w:w="200" w:type="nil"/>
              <w:right w:w="200" w:type="nil"/>
            </w:tcMar>
            <w:vAlign w:val="center"/>
          </w:tcPr>
          <w:p w:rsidR="002265D0" w:rsidRDefault="002265D0" w:rsidP="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972" w:type="dxa"/>
            <w:tcBorders>
              <w:top w:val="single" w:sz="8" w:space="0" w:color="FFFFFF"/>
              <w:left w:val="single" w:sz="8" w:space="0" w:color="FFFFFF"/>
              <w:bottom w:val="single" w:sz="8" w:space="0" w:color="FFFFFF"/>
              <w:right w:val="single" w:sz="8" w:space="0" w:color="FFFFFF"/>
            </w:tcBorders>
            <w:shd w:val="clear" w:color="auto" w:fill="F0F0F0"/>
            <w:tcMar>
              <w:top w:w="200" w:type="nil"/>
              <w:left w:w="200" w:type="nil"/>
              <w:bottom w:w="200" w:type="nil"/>
              <w:right w:w="200" w:type="nil"/>
            </w:tcMar>
            <w:vAlign w:val="center"/>
          </w:tcPr>
          <w:p w:rsidR="002265D0" w:rsidRDefault="002265D0" w:rsidP="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708" w:type="dxa"/>
            <w:tcBorders>
              <w:top w:val="single" w:sz="8" w:space="0" w:color="FFFFFF"/>
              <w:left w:val="single" w:sz="8" w:space="0" w:color="FFFFFF"/>
              <w:bottom w:val="single" w:sz="8" w:space="0" w:color="FFFFFF"/>
              <w:right w:val="single" w:sz="8" w:space="0" w:color="FFFFFF"/>
            </w:tcBorders>
            <w:shd w:val="clear" w:color="auto" w:fill="F0F0F0"/>
            <w:tcMar>
              <w:top w:w="200" w:type="nil"/>
              <w:left w:w="200" w:type="nil"/>
              <w:bottom w:w="200" w:type="nil"/>
              <w:right w:w="200" w:type="nil"/>
            </w:tcMar>
            <w:vAlign w:val="center"/>
          </w:tcPr>
          <w:p w:rsidR="002265D0" w:rsidRDefault="002265D0" w:rsidP="002265D0">
            <w:pPr>
              <w:autoSpaceDE w:val="0"/>
              <w:autoSpaceDN w:val="0"/>
              <w:adjustRightInd w:val="0"/>
              <w:jc w:val="center"/>
              <w:rPr>
                <w:rFonts w:ascii="Helvetica" w:hAnsi="Helvetica" w:cs="Helvetica"/>
                <w:color w:val="414142"/>
              </w:rPr>
            </w:pPr>
            <w:r>
              <w:rPr>
                <w:rFonts w:ascii="Helvetica" w:hAnsi="Helvetica" w:cs="Helvetica"/>
                <w:color w:val="414142"/>
              </w:rPr>
              <w:t>€€</w:t>
            </w:r>
          </w:p>
        </w:tc>
      </w:tr>
      <w:tr w:rsidR="002265D0" w:rsidTr="002265D0">
        <w:tblPrEx>
          <w:tblCellMar>
            <w:top w:w="0" w:type="dxa"/>
            <w:bottom w:w="0" w:type="dxa"/>
          </w:tblCellMar>
        </w:tblPrEx>
        <w:tc>
          <w:tcPr>
            <w:tcW w:w="12836"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rsidP="002265D0">
            <w:pPr>
              <w:autoSpaceDE w:val="0"/>
              <w:autoSpaceDN w:val="0"/>
              <w:adjustRightInd w:val="0"/>
              <w:rPr>
                <w:rFonts w:ascii="Helvetica" w:hAnsi="Helvetica" w:cs="Helvetica"/>
                <w:color w:val="414142"/>
              </w:rPr>
            </w:pPr>
            <w:r>
              <w:rPr>
                <w:rFonts w:ascii="Helvetica" w:hAnsi="Helvetica" w:cs="Helvetica"/>
                <w:color w:val="414142"/>
              </w:rPr>
              <w:t>Limiter le fonctionnement du moteur à faible charge car son rendement diminue en dehors de sa plage de fonctionnement nominal. Si la charge est variable, la variation de vitesse est une solution ; si le fonctionnement à faible charge est permanent, le remplacement par un moteur plus petit est pertinent.</w:t>
            </w:r>
          </w:p>
        </w:tc>
        <w:tc>
          <w:tcPr>
            <w:tcW w:w="783"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rsidP="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972"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rsidP="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708"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rsidP="002265D0">
            <w:pPr>
              <w:autoSpaceDE w:val="0"/>
              <w:autoSpaceDN w:val="0"/>
              <w:adjustRightInd w:val="0"/>
              <w:jc w:val="center"/>
              <w:rPr>
                <w:rFonts w:ascii="Helvetica" w:hAnsi="Helvetica" w:cs="Helvetica"/>
                <w:color w:val="414142"/>
              </w:rPr>
            </w:pPr>
            <w:r>
              <w:rPr>
                <w:rFonts w:ascii="Helvetica" w:hAnsi="Helvetica" w:cs="Helvetica"/>
                <w:color w:val="414142"/>
              </w:rPr>
              <w:t>€€</w:t>
            </w:r>
          </w:p>
        </w:tc>
      </w:tr>
    </w:tbl>
    <w:p w:rsidR="002265D0" w:rsidRDefault="002265D0" w:rsidP="002265D0">
      <w:pPr>
        <w:autoSpaceDE w:val="0"/>
        <w:autoSpaceDN w:val="0"/>
        <w:adjustRightInd w:val="0"/>
        <w:rPr>
          <w:rFonts w:ascii="Helvetica" w:hAnsi="Helvetica" w:cs="Helvetica"/>
          <w:color w:val="414142"/>
          <w:sz w:val="28"/>
          <w:szCs w:val="28"/>
        </w:rPr>
      </w:pPr>
      <w:r>
        <w:rPr>
          <w:rFonts w:ascii="Helvetica" w:hAnsi="Helvetica" w:cs="Helvetica"/>
          <w:color w:val="414142"/>
          <w:sz w:val="28"/>
          <w:szCs w:val="28"/>
        </w:rPr>
        <w:br w:type="textWrapping" w:clear="all"/>
      </w:r>
      <w:r>
        <w:rPr>
          <w:rFonts w:ascii="Helvetica" w:hAnsi="Helvetica" w:cs="Helvetica"/>
          <w:color w:val="414142"/>
          <w:sz w:val="28"/>
          <w:szCs w:val="28"/>
        </w:rPr>
        <w:t> </w:t>
      </w:r>
    </w:p>
    <w:p w:rsidR="002265D0" w:rsidRDefault="002265D0" w:rsidP="002265D0">
      <w:pPr>
        <w:autoSpaceDE w:val="0"/>
        <w:autoSpaceDN w:val="0"/>
        <w:adjustRightInd w:val="0"/>
        <w:rPr>
          <w:rFonts w:ascii="Helvetica" w:hAnsi="Helvetica" w:cs="Helvetica"/>
          <w:b/>
          <w:bCs/>
          <w:color w:val="877364"/>
          <w:sz w:val="36"/>
          <w:szCs w:val="36"/>
        </w:rPr>
      </w:pPr>
      <w:r>
        <w:rPr>
          <w:rFonts w:ascii="Helvetica" w:hAnsi="Helvetica" w:cs="Helvetica"/>
          <w:b/>
          <w:bCs/>
          <w:color w:val="877364"/>
          <w:sz w:val="36"/>
          <w:szCs w:val="36"/>
        </w:rPr>
        <w:t>Agir sur la maintenance</w:t>
      </w:r>
    </w:p>
    <w:tbl>
      <w:tblPr>
        <w:tblW w:w="0" w:type="auto"/>
        <w:tblInd w:w="-118" w:type="dxa"/>
        <w:tblBorders>
          <w:top w:val="nil"/>
          <w:left w:val="nil"/>
          <w:right w:val="nil"/>
        </w:tblBorders>
        <w:tblLayout w:type="fixed"/>
        <w:tblLook w:val="0000" w:firstRow="0" w:lastRow="0" w:firstColumn="0" w:lastColumn="0" w:noHBand="0" w:noVBand="0"/>
      </w:tblPr>
      <w:tblGrid>
        <w:gridCol w:w="12836"/>
        <w:gridCol w:w="880"/>
        <w:gridCol w:w="851"/>
        <w:gridCol w:w="850"/>
      </w:tblGrid>
      <w:tr w:rsidR="002265D0" w:rsidTr="002265D0">
        <w:tblPrEx>
          <w:tblCellMar>
            <w:top w:w="0" w:type="dxa"/>
            <w:bottom w:w="0" w:type="dxa"/>
          </w:tblCellMar>
        </w:tblPrEx>
        <w:tc>
          <w:tcPr>
            <w:tcW w:w="12836" w:type="dxa"/>
            <w:tcBorders>
              <w:top w:val="single" w:sz="8" w:space="0" w:color="FFFFFF"/>
              <w:left w:val="single" w:sz="8" w:space="0" w:color="FFFFFF"/>
              <w:bottom w:val="single" w:sz="8" w:space="0" w:color="FFFFFF"/>
              <w:right w:val="single" w:sz="8" w:space="0" w:color="FFFFFF"/>
            </w:tcBorders>
            <w:shd w:val="clear" w:color="auto" w:fill="877364"/>
            <w:tcMar>
              <w:top w:w="200" w:type="nil"/>
              <w:right w:w="200" w:type="nil"/>
            </w:tcMar>
            <w:vAlign w:val="center"/>
          </w:tcPr>
          <w:p w:rsidR="002265D0" w:rsidRDefault="002265D0">
            <w:pPr>
              <w:autoSpaceDE w:val="0"/>
              <w:autoSpaceDN w:val="0"/>
              <w:adjustRightInd w:val="0"/>
              <w:rPr>
                <w:rFonts w:ascii="Helvetica" w:hAnsi="Helvetica" w:cs="Helvetica"/>
                <w:b/>
                <w:bCs/>
                <w:color w:val="FFFFFF"/>
              </w:rPr>
            </w:pPr>
            <w:r>
              <w:rPr>
                <w:rFonts w:ascii="Helvetica" w:hAnsi="Helvetica" w:cs="Helvetica"/>
                <w:b/>
                <w:bCs/>
                <w:color w:val="FFFFFF"/>
              </w:rPr>
              <w:t> </w:t>
            </w:r>
          </w:p>
        </w:tc>
        <w:tc>
          <w:tcPr>
            <w:tcW w:w="880" w:type="dxa"/>
            <w:tcBorders>
              <w:top w:val="single" w:sz="8" w:space="0" w:color="FFFFFF"/>
              <w:left w:val="single" w:sz="8" w:space="0" w:color="FFFFFF"/>
              <w:bottom w:val="single" w:sz="8" w:space="0" w:color="FFFFFF"/>
              <w:right w:val="single" w:sz="8" w:space="0" w:color="FFFFFF"/>
            </w:tcBorders>
            <w:shd w:val="clear" w:color="auto" w:fill="877364"/>
            <w:tcMar>
              <w:top w:w="200" w:type="nil"/>
              <w:right w:w="200" w:type="nil"/>
            </w:tcMar>
            <w:vAlign w:val="center"/>
          </w:tcPr>
          <w:p w:rsidR="002265D0" w:rsidRDefault="002265D0">
            <w:pPr>
              <w:autoSpaceDE w:val="0"/>
              <w:autoSpaceDN w:val="0"/>
              <w:adjustRightInd w:val="0"/>
              <w:rPr>
                <w:rFonts w:ascii="Helvetica" w:hAnsi="Helvetica" w:cs="Helvetica"/>
                <w:b/>
                <w:bCs/>
                <w:color w:val="FFFFFF"/>
              </w:rPr>
            </w:pPr>
            <w:r>
              <w:rPr>
                <w:rFonts w:ascii="Helvetica" w:hAnsi="Helvetica" w:cs="Helvetica"/>
                <w:b/>
                <w:bCs/>
                <w:color w:val="FFFFFF"/>
              </w:rPr>
              <w:t>Facilité</w:t>
            </w:r>
          </w:p>
        </w:tc>
        <w:tc>
          <w:tcPr>
            <w:tcW w:w="851" w:type="dxa"/>
            <w:tcBorders>
              <w:top w:val="single" w:sz="8" w:space="0" w:color="FFFFFF"/>
              <w:left w:val="single" w:sz="8" w:space="0" w:color="FFFFFF"/>
              <w:bottom w:val="single" w:sz="8" w:space="0" w:color="FFFFFF"/>
              <w:right w:val="single" w:sz="8" w:space="0" w:color="FFFFFF"/>
            </w:tcBorders>
            <w:shd w:val="clear" w:color="auto" w:fill="877364"/>
            <w:tcMar>
              <w:top w:w="200" w:type="nil"/>
              <w:right w:w="200" w:type="nil"/>
            </w:tcMar>
            <w:vAlign w:val="center"/>
          </w:tcPr>
          <w:p w:rsidR="002265D0" w:rsidRDefault="002265D0">
            <w:pPr>
              <w:autoSpaceDE w:val="0"/>
              <w:autoSpaceDN w:val="0"/>
              <w:adjustRightInd w:val="0"/>
              <w:rPr>
                <w:rFonts w:ascii="Helvetica" w:hAnsi="Helvetica" w:cs="Helvetica"/>
                <w:b/>
                <w:bCs/>
                <w:color w:val="FFFFFF"/>
              </w:rPr>
            </w:pPr>
            <w:r>
              <w:rPr>
                <w:rFonts w:ascii="Helvetica" w:hAnsi="Helvetica" w:cs="Helvetica"/>
                <w:b/>
                <w:bCs/>
                <w:color w:val="FFFFFF"/>
              </w:rPr>
              <w:t>TRI</w:t>
            </w:r>
          </w:p>
        </w:tc>
        <w:tc>
          <w:tcPr>
            <w:tcW w:w="850" w:type="dxa"/>
            <w:tcBorders>
              <w:top w:val="single" w:sz="8" w:space="0" w:color="FFFFFF"/>
              <w:left w:val="single" w:sz="8" w:space="0" w:color="FFFFFF"/>
              <w:bottom w:val="single" w:sz="8" w:space="0" w:color="FFFFFF"/>
              <w:right w:val="single" w:sz="8" w:space="0" w:color="FFFFFF"/>
            </w:tcBorders>
            <w:shd w:val="clear" w:color="auto" w:fill="877364"/>
            <w:tcMar>
              <w:top w:w="200" w:type="nil"/>
              <w:right w:w="200" w:type="nil"/>
            </w:tcMar>
            <w:vAlign w:val="center"/>
          </w:tcPr>
          <w:p w:rsidR="002265D0" w:rsidRDefault="002265D0">
            <w:pPr>
              <w:autoSpaceDE w:val="0"/>
              <w:autoSpaceDN w:val="0"/>
              <w:adjustRightInd w:val="0"/>
              <w:rPr>
                <w:rFonts w:ascii="Helvetica" w:hAnsi="Helvetica" w:cs="Helvetica"/>
                <w:b/>
                <w:bCs/>
                <w:color w:val="FFFFFF"/>
              </w:rPr>
            </w:pPr>
            <w:r>
              <w:rPr>
                <w:rFonts w:ascii="Helvetica" w:hAnsi="Helvetica" w:cs="Helvetica"/>
                <w:b/>
                <w:bCs/>
                <w:color w:val="FFFFFF"/>
              </w:rPr>
              <w:t>Coût</w:t>
            </w:r>
          </w:p>
        </w:tc>
      </w:tr>
      <w:tr w:rsidR="002265D0" w:rsidTr="002265D0">
        <w:tblPrEx>
          <w:tblBorders>
            <w:top w:val="none" w:sz="0" w:space="0" w:color="auto"/>
          </w:tblBorders>
          <w:tblCellMar>
            <w:top w:w="0" w:type="dxa"/>
            <w:bottom w:w="0" w:type="dxa"/>
          </w:tblCellMar>
        </w:tblPrEx>
        <w:tc>
          <w:tcPr>
            <w:tcW w:w="12836"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rPr>
                <w:rFonts w:ascii="Helvetica" w:hAnsi="Helvetica" w:cs="Helvetica"/>
                <w:color w:val="414142"/>
              </w:rPr>
            </w:pPr>
            <w:r>
              <w:rPr>
                <w:rFonts w:ascii="Helvetica" w:hAnsi="Helvetica" w:cs="Helvetica"/>
                <w:color w:val="414142"/>
              </w:rPr>
              <w:t xml:space="preserve">Recourir à un atelier agréé lors du </w:t>
            </w:r>
            <w:proofErr w:type="spellStart"/>
            <w:r>
              <w:rPr>
                <w:rFonts w:ascii="Helvetica" w:hAnsi="Helvetica" w:cs="Helvetica"/>
                <w:color w:val="414142"/>
              </w:rPr>
              <w:t>rebobinage</w:t>
            </w:r>
            <w:proofErr w:type="spellEnd"/>
            <w:r>
              <w:rPr>
                <w:rFonts w:ascii="Helvetica" w:hAnsi="Helvetica" w:cs="Helvetica"/>
                <w:color w:val="414142"/>
              </w:rPr>
              <w:t xml:space="preserve"> Un </w:t>
            </w:r>
            <w:proofErr w:type="spellStart"/>
            <w:r>
              <w:rPr>
                <w:rFonts w:ascii="Helvetica" w:hAnsi="Helvetica" w:cs="Helvetica"/>
                <w:color w:val="414142"/>
              </w:rPr>
              <w:t>rebobinage</w:t>
            </w:r>
            <w:proofErr w:type="spellEnd"/>
            <w:r>
              <w:rPr>
                <w:rFonts w:ascii="Helvetica" w:hAnsi="Helvetica" w:cs="Helvetica"/>
                <w:color w:val="414142"/>
              </w:rPr>
              <w:t xml:space="preserve"> de mauvaise qualité peut réduire le rendement du moteur de 4 %.</w:t>
            </w:r>
          </w:p>
        </w:tc>
        <w:tc>
          <w:tcPr>
            <w:tcW w:w="880"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851"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850"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r>
      <w:tr w:rsidR="002265D0" w:rsidTr="002265D0">
        <w:tblPrEx>
          <w:tblBorders>
            <w:top w:val="none" w:sz="0" w:space="0" w:color="auto"/>
          </w:tblBorders>
          <w:tblCellMar>
            <w:top w:w="0" w:type="dxa"/>
            <w:bottom w:w="0" w:type="dxa"/>
          </w:tblCellMar>
        </w:tblPrEx>
        <w:tc>
          <w:tcPr>
            <w:tcW w:w="12836" w:type="dxa"/>
            <w:tcBorders>
              <w:top w:val="single" w:sz="8" w:space="0" w:color="FFFFFF"/>
              <w:left w:val="single" w:sz="8" w:space="0" w:color="FFFFFF"/>
              <w:bottom w:val="single" w:sz="8" w:space="0" w:color="FFFFFF"/>
              <w:right w:val="single" w:sz="8" w:space="0" w:color="FFFFFF"/>
            </w:tcBorders>
            <w:shd w:val="clear" w:color="auto" w:fill="F0F0F0"/>
            <w:tcMar>
              <w:top w:w="200" w:type="nil"/>
              <w:left w:w="200" w:type="nil"/>
              <w:bottom w:w="200" w:type="nil"/>
              <w:right w:w="200" w:type="nil"/>
            </w:tcMar>
            <w:vAlign w:val="center"/>
          </w:tcPr>
          <w:p w:rsidR="002265D0" w:rsidRDefault="002265D0">
            <w:pPr>
              <w:autoSpaceDE w:val="0"/>
              <w:autoSpaceDN w:val="0"/>
              <w:adjustRightInd w:val="0"/>
              <w:rPr>
                <w:rFonts w:ascii="Helvetica" w:hAnsi="Helvetica" w:cs="Helvetica"/>
                <w:color w:val="414142"/>
              </w:rPr>
            </w:pPr>
            <w:r>
              <w:rPr>
                <w:rFonts w:ascii="Helvetica" w:hAnsi="Helvetica" w:cs="Helvetica"/>
                <w:color w:val="414142"/>
              </w:rPr>
              <w:t>Mettre en place un planning d’entretien régulier des moteurs afin d’éviter le vieillissement prématuré des moteurs.</w:t>
            </w:r>
          </w:p>
        </w:tc>
        <w:tc>
          <w:tcPr>
            <w:tcW w:w="880" w:type="dxa"/>
            <w:tcBorders>
              <w:top w:val="single" w:sz="8" w:space="0" w:color="FFFFFF"/>
              <w:left w:val="single" w:sz="8" w:space="0" w:color="FFFFFF"/>
              <w:bottom w:val="single" w:sz="8" w:space="0" w:color="FFFFFF"/>
              <w:right w:val="single" w:sz="8" w:space="0" w:color="FFFFFF"/>
            </w:tcBorders>
            <w:shd w:val="clear" w:color="auto" w:fill="F0F0F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851" w:type="dxa"/>
            <w:tcBorders>
              <w:top w:val="single" w:sz="8" w:space="0" w:color="FFFFFF"/>
              <w:left w:val="single" w:sz="8" w:space="0" w:color="FFFFFF"/>
              <w:bottom w:val="single" w:sz="8" w:space="0" w:color="FFFFFF"/>
              <w:right w:val="single" w:sz="8" w:space="0" w:color="FFFFFF"/>
            </w:tcBorders>
            <w:shd w:val="clear" w:color="auto" w:fill="F0F0F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850" w:type="dxa"/>
            <w:tcBorders>
              <w:top w:val="single" w:sz="8" w:space="0" w:color="FFFFFF"/>
              <w:left w:val="single" w:sz="8" w:space="0" w:color="FFFFFF"/>
              <w:bottom w:val="single" w:sz="8" w:space="0" w:color="FFFFFF"/>
              <w:right w:val="single" w:sz="8" w:space="0" w:color="FFFFFF"/>
            </w:tcBorders>
            <w:shd w:val="clear" w:color="auto" w:fill="F0F0F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r>
      <w:tr w:rsidR="002265D0" w:rsidTr="002265D0">
        <w:tblPrEx>
          <w:tblCellMar>
            <w:top w:w="0" w:type="dxa"/>
            <w:bottom w:w="0" w:type="dxa"/>
          </w:tblCellMar>
        </w:tblPrEx>
        <w:tc>
          <w:tcPr>
            <w:tcW w:w="12836"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rPr>
                <w:rFonts w:ascii="Helvetica" w:hAnsi="Helvetica" w:cs="Helvetica"/>
                <w:color w:val="414142"/>
              </w:rPr>
            </w:pPr>
            <w:r>
              <w:rPr>
                <w:rFonts w:ascii="Helvetica" w:hAnsi="Helvetica" w:cs="Helvetica"/>
                <w:color w:val="414142"/>
              </w:rPr>
              <w:t>Assurer une lubrification correcte des paliers et roulements, et vérifier les alignements et le refroidissement ; vérifier aussi les résistances d’isolement des moteurs. Une maintenance correcte permet d’éviter des pertes de rendement.</w:t>
            </w:r>
          </w:p>
        </w:tc>
        <w:tc>
          <w:tcPr>
            <w:tcW w:w="880"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851"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c>
          <w:tcPr>
            <w:tcW w:w="850" w:type="dxa"/>
            <w:tcBorders>
              <w:top w:val="single" w:sz="8" w:space="0" w:color="FFFFFF"/>
              <w:left w:val="single" w:sz="8" w:space="0" w:color="FFFFFF"/>
              <w:bottom w:val="single" w:sz="8" w:space="0" w:color="FFFFFF"/>
              <w:right w:val="single" w:sz="8" w:space="0" w:color="FFFFFF"/>
            </w:tcBorders>
            <w:shd w:val="clear" w:color="auto" w:fill="E0E0E0"/>
            <w:tcMar>
              <w:top w:w="200" w:type="nil"/>
              <w:left w:w="200" w:type="nil"/>
              <w:bottom w:w="200" w:type="nil"/>
              <w:right w:w="200" w:type="nil"/>
            </w:tcMar>
            <w:vAlign w:val="center"/>
          </w:tcPr>
          <w:p w:rsidR="002265D0" w:rsidRDefault="002265D0">
            <w:pPr>
              <w:autoSpaceDE w:val="0"/>
              <w:autoSpaceDN w:val="0"/>
              <w:adjustRightInd w:val="0"/>
              <w:jc w:val="center"/>
              <w:rPr>
                <w:rFonts w:ascii="Helvetica" w:hAnsi="Helvetica" w:cs="Helvetica"/>
                <w:color w:val="414142"/>
              </w:rPr>
            </w:pPr>
            <w:r>
              <w:rPr>
                <w:rFonts w:ascii="Helvetica" w:hAnsi="Helvetica" w:cs="Helvetica"/>
                <w:color w:val="414142"/>
              </w:rPr>
              <w:t>€</w:t>
            </w:r>
          </w:p>
        </w:tc>
      </w:tr>
    </w:tbl>
    <w:p w:rsidR="002265D0" w:rsidRDefault="002265D0" w:rsidP="002265D0"/>
    <w:sectPr w:rsidR="002265D0" w:rsidSect="002265D0">
      <w:pgSz w:w="16840" w:h="1190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DA32FC"/>
    <w:multiLevelType w:val="multilevel"/>
    <w:tmpl w:val="4830E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7F1341"/>
    <w:multiLevelType w:val="multilevel"/>
    <w:tmpl w:val="CE2E6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AF1288"/>
    <w:multiLevelType w:val="multilevel"/>
    <w:tmpl w:val="2536E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9676E0"/>
    <w:multiLevelType w:val="multilevel"/>
    <w:tmpl w:val="88CA5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5D0"/>
    <w:rsid w:val="000C455A"/>
    <w:rsid w:val="002265D0"/>
    <w:rsid w:val="00421F2D"/>
    <w:rsid w:val="007079E6"/>
    <w:rsid w:val="008B303D"/>
    <w:rsid w:val="00B60928"/>
    <w:rsid w:val="00CD6B02"/>
    <w:rsid w:val="00DB61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5455748D"/>
  <w15:chartTrackingRefBased/>
  <w15:docId w15:val="{3D6FB3BA-2C7C-8044-A3AC-BFBF2E0B5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link w:val="Titre1Car"/>
    <w:uiPriority w:val="9"/>
    <w:qFormat/>
    <w:rsid w:val="002265D0"/>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2265D0"/>
    <w:pPr>
      <w:spacing w:before="100" w:beforeAutospacing="1" w:after="100" w:afterAutospacing="1"/>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265D0"/>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2265D0"/>
    <w:rPr>
      <w:rFonts w:ascii="Times New Roman" w:eastAsia="Times New Roman" w:hAnsi="Times New Roman" w:cs="Times New Roman"/>
      <w:b/>
      <w:bCs/>
      <w:sz w:val="36"/>
      <w:szCs w:val="36"/>
      <w:lang w:eastAsia="fr-FR"/>
    </w:rPr>
  </w:style>
  <w:style w:type="character" w:customStyle="1" w:styleId="title">
    <w:name w:val="title"/>
    <w:basedOn w:val="Policepardfaut"/>
    <w:rsid w:val="002265D0"/>
  </w:style>
  <w:style w:type="character" w:styleId="Lienhypertexte">
    <w:name w:val="Hyperlink"/>
    <w:basedOn w:val="Policepardfaut"/>
    <w:uiPriority w:val="99"/>
    <w:semiHidden/>
    <w:unhideWhenUsed/>
    <w:rsid w:val="002265D0"/>
    <w:rPr>
      <w:color w:val="0000FF"/>
      <w:u w:val="single"/>
    </w:rPr>
  </w:style>
  <w:style w:type="paragraph" w:customStyle="1" w:styleId="date">
    <w:name w:val="date"/>
    <w:basedOn w:val="Normal"/>
    <w:rsid w:val="002265D0"/>
    <w:pPr>
      <w:spacing w:before="100" w:beforeAutospacing="1" w:after="100" w:afterAutospacing="1"/>
    </w:pPr>
    <w:rPr>
      <w:rFonts w:ascii="Times New Roman" w:eastAsia="Times New Roman" w:hAnsi="Times New Roman" w:cs="Times New Roman"/>
      <w:lang w:eastAsia="fr-FR"/>
    </w:rPr>
  </w:style>
  <w:style w:type="paragraph" w:customStyle="1" w:styleId="intro">
    <w:name w:val="intro"/>
    <w:basedOn w:val="Normal"/>
    <w:rsid w:val="002265D0"/>
    <w:pPr>
      <w:spacing w:before="100" w:beforeAutospacing="1" w:after="100" w:afterAutospacing="1"/>
    </w:pPr>
    <w:rPr>
      <w:rFonts w:ascii="Times New Roman" w:eastAsia="Times New Roman" w:hAnsi="Times New Roman" w:cs="Times New Roman"/>
      <w:lang w:eastAsia="fr-FR"/>
    </w:rPr>
  </w:style>
  <w:style w:type="paragraph" w:styleId="NormalWeb">
    <w:name w:val="Normal (Web)"/>
    <w:basedOn w:val="Normal"/>
    <w:uiPriority w:val="99"/>
    <w:semiHidden/>
    <w:unhideWhenUsed/>
    <w:rsid w:val="002265D0"/>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2265D0"/>
  </w:style>
  <w:style w:type="character" w:styleId="lev">
    <w:name w:val="Strong"/>
    <w:basedOn w:val="Policepardfaut"/>
    <w:uiPriority w:val="22"/>
    <w:qFormat/>
    <w:rsid w:val="002265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989619">
      <w:bodyDiv w:val="1"/>
      <w:marLeft w:val="0"/>
      <w:marRight w:val="0"/>
      <w:marTop w:val="0"/>
      <w:marBottom w:val="0"/>
      <w:divBdr>
        <w:top w:val="none" w:sz="0" w:space="0" w:color="auto"/>
        <w:left w:val="none" w:sz="0" w:space="0" w:color="auto"/>
        <w:bottom w:val="none" w:sz="0" w:space="0" w:color="auto"/>
        <w:right w:val="none" w:sz="0" w:space="0" w:color="auto"/>
      </w:divBdr>
      <w:divsChild>
        <w:div w:id="647133205">
          <w:marLeft w:val="0"/>
          <w:marRight w:val="0"/>
          <w:marTop w:val="0"/>
          <w:marBottom w:val="0"/>
          <w:divBdr>
            <w:top w:val="none" w:sz="0" w:space="0" w:color="auto"/>
            <w:left w:val="none" w:sz="0" w:space="0" w:color="auto"/>
            <w:bottom w:val="none" w:sz="0" w:space="0" w:color="auto"/>
            <w:right w:val="none" w:sz="0" w:space="0" w:color="auto"/>
          </w:divBdr>
          <w:divsChild>
            <w:div w:id="2038581237">
              <w:marLeft w:val="0"/>
              <w:marRight w:val="0"/>
              <w:marTop w:val="0"/>
              <w:marBottom w:val="0"/>
              <w:divBdr>
                <w:top w:val="none" w:sz="0" w:space="0" w:color="auto"/>
                <w:left w:val="none" w:sz="0" w:space="0" w:color="auto"/>
                <w:bottom w:val="none" w:sz="0" w:space="0" w:color="auto"/>
                <w:right w:val="none" w:sz="0" w:space="0" w:color="auto"/>
              </w:divBdr>
              <w:divsChild>
                <w:div w:id="19046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78674">
          <w:marLeft w:val="0"/>
          <w:marRight w:val="0"/>
          <w:marTop w:val="0"/>
          <w:marBottom w:val="0"/>
          <w:divBdr>
            <w:top w:val="none" w:sz="0" w:space="0" w:color="auto"/>
            <w:left w:val="none" w:sz="0" w:space="0" w:color="auto"/>
            <w:bottom w:val="none" w:sz="0" w:space="0" w:color="auto"/>
            <w:right w:val="none" w:sz="0" w:space="0" w:color="auto"/>
          </w:divBdr>
        </w:div>
      </w:divsChild>
    </w:div>
    <w:div w:id="53558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xUriServ/LexUriServ.do?uri=OJ:L:2014:002:0001:0002:FR:PDF" TargetMode="External"/><Relationship Id="rId13" Type="http://schemas.openxmlformats.org/officeDocument/2006/relationships/hyperlink" Target="http://www.sirmelec.fr/" TargetMode="External"/><Relationship Id="rId18" Type="http://schemas.openxmlformats.org/officeDocument/2006/relationships/hyperlink" Target="http://www.ademe.fr/industriels-investissez-performance-energetique" TargetMode="External"/><Relationship Id="rId26" Type="http://schemas.openxmlformats.org/officeDocument/2006/relationships/hyperlink" Target="http://www.ademe.fr/expertises/changement-climatique-energie/passer-a-laction/comment-valoriser-economies-denergie-cee" TargetMode="External"/><Relationship Id="rId3" Type="http://schemas.openxmlformats.org/officeDocument/2006/relationships/settings" Target="settings.xml"/><Relationship Id="rId21" Type="http://schemas.openxmlformats.org/officeDocument/2006/relationships/hyperlink" Target="http://www.gimelec.fr/content/download/938/7904/version/6/file/Journal_capiel-FR-BAT131210-2010-00866-01-E.pdf" TargetMode="External"/><Relationship Id="rId7" Type="http://schemas.openxmlformats.org/officeDocument/2006/relationships/hyperlink" Target="https://webstore.iec.ch/publication/136" TargetMode="External"/><Relationship Id="rId12" Type="http://schemas.openxmlformats.org/officeDocument/2006/relationships/hyperlink" Target="http://www.gimelec.fr" TargetMode="External"/><Relationship Id="rId17" Type="http://schemas.openxmlformats.org/officeDocument/2006/relationships/hyperlink" Target="http://www.ademe.fr/effacement-consommation-electrique-france" TargetMode="External"/><Relationship Id="rId25" Type="http://schemas.openxmlformats.org/officeDocument/2006/relationships/hyperlink" Target="http://eur-lex.europa.eu/LexUriServ/LexUriServ.do?uri=OJ:L:2014:002:0001:0002:FR:PDF" TargetMode="External"/><Relationship Id="rId2" Type="http://schemas.openxmlformats.org/officeDocument/2006/relationships/styles" Target="styles.xml"/><Relationship Id="rId16" Type="http://schemas.openxmlformats.org/officeDocument/2006/relationships/hyperlink" Target="https://www.smmt.co.uk/" TargetMode="External"/><Relationship Id="rId20" Type="http://schemas.openxmlformats.org/officeDocument/2006/relationships/hyperlink" Target="http://www.sirmelec.fr/iso_album/synthese_ecobilan_sirmelec_-_ademe_-_juin_2012.pdf" TargetMode="External"/><Relationship Id="rId1" Type="http://schemas.openxmlformats.org/officeDocument/2006/relationships/numbering" Target="numbering.xml"/><Relationship Id="rId6" Type="http://schemas.openxmlformats.org/officeDocument/2006/relationships/hyperlink" Target="http://www.ademe.fr/entreprises-monde-agricole/reduire-impacts/maitriser-lenergie-atelier-production/equipements-electriques/dossier/moteurs-electriques/outils-liens" TargetMode="External"/><Relationship Id="rId11" Type="http://schemas.openxmlformats.org/officeDocument/2006/relationships/hyperlink" Target="http://www.ademe.fr/entreprises-monde-agricole/reduire-impacts/maitriser-lenergie-atelier-production/equipements-electriques/dossier/moteurs-electriques/outils-liens" TargetMode="External"/><Relationship Id="rId24" Type="http://schemas.openxmlformats.org/officeDocument/2006/relationships/hyperlink" Target="https://webstore.iec.ch/publication/136" TargetMode="External"/><Relationship Id="rId5" Type="http://schemas.openxmlformats.org/officeDocument/2006/relationships/hyperlink" Target="http://www.ademe.fr/entreprises-monde-agricole/reduire-impacts/maitriser-lenergie-atelier-production/equipements-electriques/dossier/moteurs-electriques/conseils-agir" TargetMode="External"/><Relationship Id="rId15" Type="http://schemas.openxmlformats.org/officeDocument/2006/relationships/hyperlink" Target="http://www.ute-asso.fr/" TargetMode="External"/><Relationship Id="rId23" Type="http://schemas.openxmlformats.org/officeDocument/2006/relationships/image" Target="media/image1.jpeg"/><Relationship Id="rId28" Type="http://schemas.openxmlformats.org/officeDocument/2006/relationships/theme" Target="theme/theme1.xml"/><Relationship Id="rId10" Type="http://schemas.openxmlformats.org/officeDocument/2006/relationships/hyperlink" Target="http://www.ademe.fr/entreprises-monde-agricole/reduire-impacts/maitriser-lenergie-atelier-production/equipements-electriques/dossier/moteurs-electriques/saviez" TargetMode="External"/><Relationship Id="rId19" Type="http://schemas.openxmlformats.org/officeDocument/2006/relationships/hyperlink" Target="http://www.ademe.fr/comptage-lenergie" TargetMode="External"/><Relationship Id="rId4" Type="http://schemas.openxmlformats.org/officeDocument/2006/relationships/webSettings" Target="webSettings.xml"/><Relationship Id="rId9" Type="http://schemas.openxmlformats.org/officeDocument/2006/relationships/hyperlink" Target="http://www.ademe.fr/expertises/changement-climatique-energie/passer-a-laction/comment-valoriser-economies-denergie-cee" TargetMode="External"/><Relationship Id="rId14" Type="http://schemas.openxmlformats.org/officeDocument/2006/relationships/hyperlink" Target="http://www.ufe-electricite.fr/" TargetMode="External"/><Relationship Id="rId22" Type="http://schemas.openxmlformats.org/officeDocument/2006/relationships/hyperlink" Target="http://eur-lex.europa.eu/LexUriServ/LexUriServ.do?uri=OJ:L:2009:191:0026:0034:FR:PDF"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1429</Words>
  <Characters>7865</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dc:description/>
  <cp:lastModifiedBy>Utilisateur Microsoft Office</cp:lastModifiedBy>
  <cp:revision>2</cp:revision>
  <dcterms:created xsi:type="dcterms:W3CDTF">2018-04-07T13:33:00Z</dcterms:created>
  <dcterms:modified xsi:type="dcterms:W3CDTF">2018-04-07T13:47:00Z</dcterms:modified>
</cp:coreProperties>
</file>