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0C" w:rsidRDefault="00434C0C" w:rsidP="00434C0C">
      <w:pPr>
        <w:jc w:val="center"/>
        <w:rPr>
          <w:sz w:val="32"/>
          <w:szCs w:val="32"/>
          <w:u w:val="single"/>
        </w:rPr>
      </w:pPr>
      <w:r w:rsidRPr="002C4E32">
        <w:rPr>
          <w:sz w:val="32"/>
          <w:szCs w:val="32"/>
          <w:u w:val="single"/>
        </w:rPr>
        <w:t>Co enseignement Mathématiques- Technologie Interventions Véhicules</w:t>
      </w:r>
    </w:p>
    <w:p w:rsidR="00CB4C4C" w:rsidRDefault="00CB4C4C" w:rsidP="00CB4C4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Puissance spécifique (corrigé)</w:t>
      </w:r>
    </w:p>
    <w:p w:rsidR="00434C0C" w:rsidRPr="00193922" w:rsidRDefault="00434C0C" w:rsidP="00434C0C">
      <w:pPr>
        <w:jc w:val="center"/>
        <w:rPr>
          <w:sz w:val="28"/>
          <w:szCs w:val="28"/>
          <w:u w:val="single"/>
        </w:rPr>
      </w:pPr>
    </w:p>
    <w:p w:rsidR="0017696D" w:rsidRPr="00193922" w:rsidRDefault="0017696D" w:rsidP="005B7C0C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 w:rsidRPr="00193922">
        <w:rPr>
          <w:sz w:val="28"/>
          <w:szCs w:val="28"/>
          <w:u w:val="single"/>
        </w:rPr>
        <w:t>Contexte</w:t>
      </w:r>
    </w:p>
    <w:p w:rsidR="00367082" w:rsidRDefault="00B43D12" w:rsidP="005B7C0C">
      <w:pPr>
        <w:rPr>
          <w:sz w:val="24"/>
          <w:szCs w:val="24"/>
        </w:rPr>
      </w:pPr>
      <w:r>
        <w:rPr>
          <w:sz w:val="24"/>
          <w:szCs w:val="24"/>
        </w:rPr>
        <w:t xml:space="preserve">La puissance spécifique </w:t>
      </w:r>
      <w:r w:rsidR="005B7C0C" w:rsidRPr="005B7C0C">
        <w:rPr>
          <w:sz w:val="24"/>
          <w:szCs w:val="24"/>
        </w:rPr>
        <w:t xml:space="preserve">caractérise le niveau de performance </w:t>
      </w:r>
      <w:r w:rsidR="00B511CF" w:rsidRPr="005B7C0C">
        <w:rPr>
          <w:sz w:val="24"/>
          <w:szCs w:val="24"/>
        </w:rPr>
        <w:t>d’un</w:t>
      </w:r>
      <w:r w:rsidR="005B7C0C" w:rsidRPr="005B7C0C">
        <w:rPr>
          <w:sz w:val="24"/>
          <w:szCs w:val="24"/>
        </w:rPr>
        <w:t xml:space="preserve"> mot</w:t>
      </w:r>
      <w:r w:rsidR="00C61BE4">
        <w:rPr>
          <w:sz w:val="24"/>
          <w:szCs w:val="24"/>
        </w:rPr>
        <w:t>e</w:t>
      </w:r>
      <w:r w:rsidR="005B7C0C" w:rsidRPr="005B7C0C">
        <w:rPr>
          <w:sz w:val="24"/>
          <w:szCs w:val="24"/>
        </w:rPr>
        <w:t>ur thermique par sa puissance rapportée à 1 litre de cylindrée.</w:t>
      </w:r>
      <w:r>
        <w:rPr>
          <w:sz w:val="24"/>
          <w:szCs w:val="24"/>
        </w:rPr>
        <w:t xml:space="preserve"> Elle </w:t>
      </w:r>
      <w:r w:rsidR="00C055C3">
        <w:rPr>
          <w:sz w:val="24"/>
          <w:szCs w:val="24"/>
        </w:rPr>
        <w:t>s’exprime</w:t>
      </w:r>
      <w:r>
        <w:rPr>
          <w:sz w:val="24"/>
          <w:szCs w:val="24"/>
        </w:rPr>
        <w:t xml:space="preserve"> pour le grand public </w:t>
      </w:r>
      <w:r w:rsidR="00367082">
        <w:rPr>
          <w:sz w:val="24"/>
          <w:szCs w:val="24"/>
        </w:rPr>
        <w:t>en chevaux/litre de cylindrée.</w:t>
      </w:r>
    </w:p>
    <w:p w:rsidR="00434C0C" w:rsidRPr="005B7C0C" w:rsidRDefault="00434C0C" w:rsidP="005B7C0C">
      <w:pPr>
        <w:rPr>
          <w:sz w:val="24"/>
          <w:szCs w:val="24"/>
        </w:rPr>
      </w:pPr>
    </w:p>
    <w:p w:rsidR="005B7C0C" w:rsidRPr="00193922" w:rsidRDefault="00367082" w:rsidP="005B7C0C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 w:rsidRPr="00193922">
        <w:rPr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4C1E7" wp14:editId="220F70F2">
                <wp:simplePos x="0" y="0"/>
                <wp:positionH relativeFrom="column">
                  <wp:posOffset>2033905</wp:posOffset>
                </wp:positionH>
                <wp:positionV relativeFrom="paragraph">
                  <wp:posOffset>92075</wp:posOffset>
                </wp:positionV>
                <wp:extent cx="1647825" cy="523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082" w:rsidRPr="00367082" w:rsidRDefault="00B43D12" w:rsidP="0036708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B43D12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spé</w:t>
                            </w:r>
                            <w:proofErr w:type="spellEnd"/>
                            <w:r w:rsidR="00367082" w:rsidRPr="0036708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= </w:t>
                            </w:r>
                            <w:proofErr w:type="spellStart"/>
                            <w:r w:rsidR="00367082" w:rsidRPr="00367082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367082" w:rsidRPr="00B43D12">
                              <w:rPr>
                                <w:b/>
                                <w:sz w:val="28"/>
                                <w:szCs w:val="28"/>
                                <w:vertAlign w:val="subscript"/>
                              </w:rPr>
                              <w:t>max</w:t>
                            </w:r>
                            <w:proofErr w:type="spellEnd"/>
                            <w:r w:rsidR="00CB4C4C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CB4C4C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367082" w:rsidRPr="00367082">
                              <w:rPr>
                                <w:b/>
                                <w:sz w:val="28"/>
                                <w:szCs w:val="28"/>
                              </w:rPr>
                              <w:t>yl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4C1E7" id="Rectangle 1" o:spid="_x0000_s1026" style="position:absolute;left:0;text-align:left;margin-left:160.15pt;margin-top:7.25pt;width:129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" fillcolor="white [3201]" strokecolor="#70ad47 [3209]" strokeweight="1pt">
                <v:textbox>
                  <w:txbxContent>
                    <w:p w:rsidR="00367082" w:rsidRPr="00367082" w:rsidRDefault="00B43D12" w:rsidP="003670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Pr="00B43D12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spé</w:t>
                      </w:r>
                      <w:proofErr w:type="spellEnd"/>
                      <w:r w:rsidR="00367082" w:rsidRPr="00367082">
                        <w:rPr>
                          <w:b/>
                          <w:sz w:val="28"/>
                          <w:szCs w:val="28"/>
                        </w:rPr>
                        <w:t xml:space="preserve"> = </w:t>
                      </w:r>
                      <w:proofErr w:type="spellStart"/>
                      <w:r w:rsidR="00367082" w:rsidRPr="00367082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367082" w:rsidRPr="00B43D12">
                        <w:rPr>
                          <w:b/>
                          <w:sz w:val="28"/>
                          <w:szCs w:val="28"/>
                          <w:vertAlign w:val="subscript"/>
                        </w:rPr>
                        <w:t>max</w:t>
                      </w:r>
                      <w:proofErr w:type="spellEnd"/>
                      <w:r w:rsidR="00CB4C4C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CB4C4C"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367082" w:rsidRPr="00367082">
                        <w:rPr>
                          <w:b/>
                          <w:sz w:val="28"/>
                          <w:szCs w:val="28"/>
                        </w:rPr>
                        <w:t>yl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B7C0C" w:rsidRPr="00193922">
        <w:rPr>
          <w:sz w:val="28"/>
          <w:szCs w:val="28"/>
          <w:u w:val="single"/>
        </w:rPr>
        <w:t>Données</w:t>
      </w:r>
    </w:p>
    <w:p w:rsidR="00367082" w:rsidRDefault="00367082" w:rsidP="00367082">
      <w:pPr>
        <w:rPr>
          <w:sz w:val="24"/>
          <w:szCs w:val="24"/>
        </w:rPr>
      </w:pPr>
    </w:p>
    <w:p w:rsidR="005B7C0C" w:rsidRPr="00367082" w:rsidRDefault="005B7C0C" w:rsidP="0036708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367082">
        <w:rPr>
          <w:sz w:val="24"/>
          <w:szCs w:val="24"/>
        </w:rPr>
        <w:t>P</w:t>
      </w:r>
      <w:r w:rsidR="00C055C3">
        <w:rPr>
          <w:sz w:val="24"/>
          <w:szCs w:val="24"/>
        </w:rPr>
        <w:t>spé</w:t>
      </w:r>
      <w:proofErr w:type="spellEnd"/>
      <w:r w:rsidRPr="00367082">
        <w:rPr>
          <w:sz w:val="24"/>
          <w:szCs w:val="24"/>
        </w:rPr>
        <w:t xml:space="preserve"> = </w:t>
      </w:r>
      <w:r w:rsidR="00367082" w:rsidRPr="00367082">
        <w:rPr>
          <w:sz w:val="24"/>
          <w:szCs w:val="24"/>
        </w:rPr>
        <w:t xml:space="preserve"> </w:t>
      </w:r>
      <w:r w:rsidR="00C055C3">
        <w:rPr>
          <w:sz w:val="24"/>
          <w:szCs w:val="24"/>
        </w:rPr>
        <w:t xml:space="preserve">puissance spécifique </w:t>
      </w:r>
      <w:r w:rsidR="00C055C3" w:rsidRPr="00367082">
        <w:rPr>
          <w:sz w:val="24"/>
          <w:szCs w:val="24"/>
        </w:rPr>
        <w:t>(</w:t>
      </w:r>
      <w:proofErr w:type="spellStart"/>
      <w:r w:rsidR="00C055C3" w:rsidRPr="00367082">
        <w:rPr>
          <w:sz w:val="24"/>
          <w:szCs w:val="24"/>
        </w:rPr>
        <w:t>ch</w:t>
      </w:r>
      <w:proofErr w:type="spellEnd"/>
      <w:r w:rsidR="00367082" w:rsidRPr="00367082">
        <w:rPr>
          <w:sz w:val="24"/>
          <w:szCs w:val="24"/>
        </w:rPr>
        <w:t>/L)</w:t>
      </w:r>
    </w:p>
    <w:p w:rsidR="005B7C0C" w:rsidRPr="00367082" w:rsidRDefault="00FE48B1" w:rsidP="0036708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Pmax</w:t>
      </w:r>
      <w:proofErr w:type="spellEnd"/>
      <w:r>
        <w:rPr>
          <w:sz w:val="24"/>
          <w:szCs w:val="24"/>
        </w:rPr>
        <w:t xml:space="preserve"> = puissance maxi (</w:t>
      </w:r>
      <w:proofErr w:type="spellStart"/>
      <w:r>
        <w:rPr>
          <w:sz w:val="24"/>
          <w:szCs w:val="24"/>
        </w:rPr>
        <w:t>ch</w:t>
      </w:r>
      <w:proofErr w:type="spellEnd"/>
      <w:r w:rsidR="005B7C0C" w:rsidRPr="00367082">
        <w:rPr>
          <w:sz w:val="24"/>
          <w:szCs w:val="24"/>
        </w:rPr>
        <w:t>)</w:t>
      </w:r>
    </w:p>
    <w:p w:rsidR="005B7C0C" w:rsidRDefault="005B7C0C" w:rsidP="00367082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 w:rsidRPr="00367082">
        <w:rPr>
          <w:sz w:val="24"/>
          <w:szCs w:val="24"/>
        </w:rPr>
        <w:t>Cyl</w:t>
      </w:r>
      <w:proofErr w:type="spellEnd"/>
      <w:r w:rsidRPr="00367082">
        <w:rPr>
          <w:sz w:val="24"/>
          <w:szCs w:val="24"/>
        </w:rPr>
        <w:t xml:space="preserve"> = cylindrée (L)</w:t>
      </w:r>
    </w:p>
    <w:p w:rsidR="00367082" w:rsidRPr="00367082" w:rsidRDefault="00367082" w:rsidP="00367082">
      <w:pPr>
        <w:pStyle w:val="Paragraphedeliste"/>
        <w:rPr>
          <w:sz w:val="24"/>
          <w:szCs w:val="24"/>
        </w:rPr>
      </w:pPr>
    </w:p>
    <w:p w:rsidR="005B7C0C" w:rsidRPr="00193922" w:rsidRDefault="005B7C0C" w:rsidP="005B7C0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193922">
        <w:rPr>
          <w:sz w:val="28"/>
          <w:szCs w:val="28"/>
        </w:rPr>
        <w:t xml:space="preserve">Problématique </w:t>
      </w:r>
    </w:p>
    <w:p w:rsidR="005B7C0C" w:rsidRDefault="005B7C0C" w:rsidP="005B7C0C">
      <w:r>
        <w:t xml:space="preserve">Afin de </w:t>
      </w:r>
      <w:r w:rsidR="00367082">
        <w:t xml:space="preserve">comparer </w:t>
      </w:r>
      <w:r>
        <w:t>des moteurs par niveau de performance, complétez le tableau suivant :</w:t>
      </w:r>
    </w:p>
    <w:tbl>
      <w:tblPr>
        <w:tblStyle w:val="Grilledutableau"/>
        <w:tblW w:w="10065" w:type="dxa"/>
        <w:tblInd w:w="-5" w:type="dxa"/>
        <w:tblLook w:val="04A0" w:firstRow="1" w:lastRow="0" w:firstColumn="1" w:lastColumn="0" w:noHBand="0" w:noVBand="1"/>
      </w:tblPr>
      <w:tblGrid>
        <w:gridCol w:w="992"/>
        <w:gridCol w:w="3681"/>
        <w:gridCol w:w="1701"/>
        <w:gridCol w:w="1984"/>
        <w:gridCol w:w="1707"/>
      </w:tblGrid>
      <w:tr w:rsidR="00532A4F" w:rsidTr="006A458A">
        <w:tc>
          <w:tcPr>
            <w:tcW w:w="992" w:type="dxa"/>
          </w:tcPr>
          <w:p w:rsidR="00532A4F" w:rsidRPr="00532A4F" w:rsidRDefault="00532A4F" w:rsidP="00532A4F">
            <w:pPr>
              <w:jc w:val="center"/>
              <w:rPr>
                <w:b/>
              </w:rPr>
            </w:pPr>
            <w:r>
              <w:rPr>
                <w:b/>
              </w:rPr>
              <w:t>repère</w:t>
            </w:r>
          </w:p>
        </w:tc>
        <w:tc>
          <w:tcPr>
            <w:tcW w:w="3681" w:type="dxa"/>
          </w:tcPr>
          <w:p w:rsidR="00532A4F" w:rsidRPr="00532A4F" w:rsidRDefault="00532A4F" w:rsidP="00532A4F">
            <w:pPr>
              <w:jc w:val="center"/>
              <w:rPr>
                <w:b/>
              </w:rPr>
            </w:pPr>
            <w:r w:rsidRPr="00532A4F">
              <w:rPr>
                <w:b/>
              </w:rPr>
              <w:t>Moteur/ usage</w:t>
            </w:r>
          </w:p>
        </w:tc>
        <w:tc>
          <w:tcPr>
            <w:tcW w:w="1701" w:type="dxa"/>
          </w:tcPr>
          <w:p w:rsidR="00532A4F" w:rsidRPr="00532A4F" w:rsidRDefault="00532A4F" w:rsidP="00532A4F">
            <w:pPr>
              <w:jc w:val="center"/>
              <w:rPr>
                <w:b/>
              </w:rPr>
            </w:pPr>
            <w:r w:rsidRPr="00532A4F">
              <w:rPr>
                <w:b/>
              </w:rPr>
              <w:t>Puissance maxi</w:t>
            </w:r>
          </w:p>
        </w:tc>
        <w:tc>
          <w:tcPr>
            <w:tcW w:w="1984" w:type="dxa"/>
          </w:tcPr>
          <w:p w:rsidR="00532A4F" w:rsidRPr="00532A4F" w:rsidRDefault="00532A4F" w:rsidP="00532A4F">
            <w:pPr>
              <w:jc w:val="center"/>
              <w:rPr>
                <w:b/>
              </w:rPr>
            </w:pPr>
            <w:r w:rsidRPr="00532A4F">
              <w:rPr>
                <w:b/>
              </w:rPr>
              <w:t>cylindrée</w:t>
            </w:r>
          </w:p>
        </w:tc>
        <w:tc>
          <w:tcPr>
            <w:tcW w:w="1707" w:type="dxa"/>
          </w:tcPr>
          <w:p w:rsidR="00532A4F" w:rsidRPr="00532A4F" w:rsidRDefault="00C955EB" w:rsidP="00C955EB">
            <w:pPr>
              <w:jc w:val="center"/>
              <w:rPr>
                <w:b/>
              </w:rPr>
            </w:pPr>
            <w:r>
              <w:rPr>
                <w:b/>
              </w:rPr>
              <w:t>puissance spécifique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1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TU5 (307 Peugeot) année 2000</w:t>
            </w:r>
          </w:p>
          <w:p w:rsidR="00532A4F" w:rsidRDefault="00532A4F" w:rsidP="00C61BE4">
            <w:pPr>
              <w:jc w:val="center"/>
            </w:pPr>
            <w:r>
              <w:t>essence atmosphérique</w:t>
            </w:r>
          </w:p>
        </w:tc>
        <w:tc>
          <w:tcPr>
            <w:tcW w:w="1701" w:type="dxa"/>
          </w:tcPr>
          <w:p w:rsidR="00532A4F" w:rsidRDefault="00532A4F" w:rsidP="00434C0C">
            <w:pPr>
              <w:jc w:val="center"/>
            </w:pPr>
            <w:r>
              <w:t xml:space="preserve">110 </w:t>
            </w:r>
            <w:proofErr w:type="spellStart"/>
            <w:r>
              <w:t>ch</w:t>
            </w:r>
            <w:proofErr w:type="spellEnd"/>
          </w:p>
        </w:tc>
        <w:tc>
          <w:tcPr>
            <w:tcW w:w="1984" w:type="dxa"/>
          </w:tcPr>
          <w:p w:rsidR="00532A4F" w:rsidRDefault="00532A4F" w:rsidP="00434C0C">
            <w:pPr>
              <w:jc w:val="center"/>
            </w:pPr>
            <w:r>
              <w:t>1587 cm</w:t>
            </w:r>
            <w:r w:rsidRPr="00B511CF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434C0C" w:rsidP="00434C0C">
            <w:pPr>
              <w:jc w:val="center"/>
            </w:pPr>
            <w:r w:rsidRPr="00434C0C">
              <w:rPr>
                <w:color w:val="FF0000"/>
              </w:rPr>
              <w:t xml:space="preserve">69.3 </w:t>
            </w:r>
            <w:proofErr w:type="spellStart"/>
            <w:r w:rsidR="00C955EB">
              <w:t>ch</w:t>
            </w:r>
            <w:proofErr w:type="spellEnd"/>
            <w:r w:rsidR="00C955EB">
              <w:t>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2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EP6DT (308 Peugeot) année 2010</w:t>
            </w:r>
          </w:p>
          <w:p w:rsidR="00532A4F" w:rsidRDefault="00532A4F" w:rsidP="00C61BE4">
            <w:pPr>
              <w:jc w:val="center"/>
            </w:pPr>
            <w:r>
              <w:t>essence suralimenté</w:t>
            </w:r>
          </w:p>
        </w:tc>
        <w:tc>
          <w:tcPr>
            <w:tcW w:w="1701" w:type="dxa"/>
          </w:tcPr>
          <w:p w:rsidR="00532A4F" w:rsidRDefault="00434C0C" w:rsidP="00434C0C">
            <w:pPr>
              <w:jc w:val="center"/>
            </w:pPr>
            <w:r w:rsidRPr="00434C0C">
              <w:rPr>
                <w:color w:val="FF0000"/>
              </w:rPr>
              <w:t>149.9</w:t>
            </w:r>
            <w:r w:rsidR="002F6A8F" w:rsidRPr="00434C0C">
              <w:rPr>
                <w:color w:val="FF0000"/>
              </w:rPr>
              <w:t xml:space="preserve">      </w:t>
            </w:r>
            <w:proofErr w:type="spellStart"/>
            <w:r w:rsidR="002F6A8F">
              <w:t>ch</w:t>
            </w:r>
            <w:proofErr w:type="spellEnd"/>
          </w:p>
        </w:tc>
        <w:tc>
          <w:tcPr>
            <w:tcW w:w="1984" w:type="dxa"/>
          </w:tcPr>
          <w:p w:rsidR="00532A4F" w:rsidRDefault="00532A4F" w:rsidP="00434C0C">
            <w:pPr>
              <w:jc w:val="center"/>
            </w:pPr>
            <w:r>
              <w:t>1598 cm</w:t>
            </w:r>
            <w:r w:rsidRPr="00B511CF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532A4F" w:rsidP="00434C0C">
            <w:pPr>
              <w:jc w:val="center"/>
            </w:pPr>
            <w:r>
              <w:t xml:space="preserve">93,8 </w:t>
            </w:r>
            <w:proofErr w:type="spellStart"/>
            <w:r>
              <w:t>ch</w:t>
            </w:r>
            <w:proofErr w:type="spellEnd"/>
            <w:r>
              <w:t>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3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proofErr w:type="spellStart"/>
            <w:r>
              <w:t>Energy</w:t>
            </w:r>
            <w:proofErr w:type="spellEnd"/>
            <w:r>
              <w:t xml:space="preserve"> (RENAULT F1) année 2014</w:t>
            </w:r>
          </w:p>
          <w:p w:rsidR="00532A4F" w:rsidRDefault="00532A4F" w:rsidP="00C61BE4">
            <w:pPr>
              <w:jc w:val="center"/>
            </w:pPr>
            <w:r>
              <w:t>suralimenté</w:t>
            </w:r>
          </w:p>
        </w:tc>
        <w:tc>
          <w:tcPr>
            <w:tcW w:w="1701" w:type="dxa"/>
          </w:tcPr>
          <w:p w:rsidR="00532A4F" w:rsidRDefault="00532A4F" w:rsidP="00434C0C">
            <w:pPr>
              <w:jc w:val="center"/>
            </w:pPr>
            <w:r>
              <w:t xml:space="preserve">600 </w:t>
            </w:r>
            <w:proofErr w:type="spellStart"/>
            <w:r>
              <w:t>ch</w:t>
            </w:r>
            <w:proofErr w:type="spellEnd"/>
          </w:p>
        </w:tc>
        <w:tc>
          <w:tcPr>
            <w:tcW w:w="1984" w:type="dxa"/>
          </w:tcPr>
          <w:p w:rsidR="00532A4F" w:rsidRDefault="00532A4F" w:rsidP="00434C0C">
            <w:pPr>
              <w:jc w:val="center"/>
            </w:pPr>
            <w:r>
              <w:t>1600 cm</w:t>
            </w:r>
            <w:r w:rsidRPr="00B511CF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434C0C" w:rsidP="00434C0C">
            <w:pPr>
              <w:jc w:val="center"/>
            </w:pPr>
            <w:r w:rsidRPr="00434C0C">
              <w:rPr>
                <w:color w:val="FF0000"/>
              </w:rPr>
              <w:t>375</w:t>
            </w:r>
            <w:r>
              <w:t xml:space="preserve"> </w:t>
            </w:r>
            <w:proofErr w:type="spellStart"/>
            <w:r w:rsidR="002F6A8F">
              <w:t>ch</w:t>
            </w:r>
            <w:proofErr w:type="spellEnd"/>
            <w:r w:rsidR="002F6A8F">
              <w:t>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4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AJK (AUDI A6)</w:t>
            </w:r>
          </w:p>
          <w:p w:rsidR="00532A4F" w:rsidRDefault="00532A4F" w:rsidP="00532A4F">
            <w:pPr>
              <w:jc w:val="center"/>
            </w:pPr>
            <w:r>
              <w:t xml:space="preserve">V6 </w:t>
            </w:r>
            <w:proofErr w:type="spellStart"/>
            <w:r>
              <w:t>biturbo</w:t>
            </w:r>
            <w:proofErr w:type="spellEnd"/>
            <w:r>
              <w:t xml:space="preserve"> essence</w:t>
            </w:r>
          </w:p>
        </w:tc>
        <w:tc>
          <w:tcPr>
            <w:tcW w:w="1701" w:type="dxa"/>
          </w:tcPr>
          <w:p w:rsidR="00532A4F" w:rsidRDefault="00434C0C" w:rsidP="00434C0C">
            <w:pPr>
              <w:jc w:val="center"/>
            </w:pPr>
            <w:r w:rsidRPr="00434C0C">
              <w:rPr>
                <w:color w:val="FF0000"/>
              </w:rPr>
              <w:t>169</w:t>
            </w:r>
            <w:r w:rsidR="002F6A8F" w:rsidRPr="00434C0C">
              <w:rPr>
                <w:color w:val="FF0000"/>
              </w:rPr>
              <w:t xml:space="preserve">   </w:t>
            </w:r>
            <w:r w:rsidR="00532A4F" w:rsidRPr="00434C0C">
              <w:rPr>
                <w:color w:val="FF0000"/>
              </w:rPr>
              <w:t xml:space="preserve"> </w:t>
            </w:r>
            <w:proofErr w:type="spellStart"/>
            <w:r w:rsidR="00532A4F">
              <w:t>kw</w:t>
            </w:r>
            <w:proofErr w:type="spellEnd"/>
          </w:p>
        </w:tc>
        <w:tc>
          <w:tcPr>
            <w:tcW w:w="1984" w:type="dxa"/>
          </w:tcPr>
          <w:p w:rsidR="00532A4F" w:rsidRDefault="00532A4F" w:rsidP="00434C0C">
            <w:pPr>
              <w:jc w:val="center"/>
            </w:pPr>
            <w:r>
              <w:t>2,671 L</w:t>
            </w:r>
          </w:p>
        </w:tc>
        <w:tc>
          <w:tcPr>
            <w:tcW w:w="1707" w:type="dxa"/>
          </w:tcPr>
          <w:p w:rsidR="00532A4F" w:rsidRDefault="00532A4F" w:rsidP="00434C0C">
            <w:pPr>
              <w:jc w:val="center"/>
            </w:pPr>
            <w:r>
              <w:t>86</w:t>
            </w:r>
            <w:r w:rsidR="002F6A8F">
              <w:t xml:space="preserve"> </w:t>
            </w:r>
            <w:proofErr w:type="spellStart"/>
            <w:r>
              <w:t>ch</w:t>
            </w:r>
            <w:proofErr w:type="spellEnd"/>
            <w:r>
              <w:t>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532A4F">
            <w:r>
              <w:t xml:space="preserve">       5</w:t>
            </w:r>
          </w:p>
        </w:tc>
        <w:tc>
          <w:tcPr>
            <w:tcW w:w="3681" w:type="dxa"/>
          </w:tcPr>
          <w:p w:rsidR="00532A4F" w:rsidRDefault="00532A4F" w:rsidP="00C61BE4">
            <w:pPr>
              <w:ind w:firstLine="708"/>
              <w:jc w:val="center"/>
            </w:pPr>
            <w:r>
              <w:t>F50H (moto YAMAHA)</w:t>
            </w:r>
          </w:p>
          <w:p w:rsidR="00532A4F" w:rsidRDefault="00532A4F" w:rsidP="00C61BE4">
            <w:pPr>
              <w:ind w:firstLine="708"/>
              <w:jc w:val="center"/>
            </w:pPr>
          </w:p>
        </w:tc>
        <w:tc>
          <w:tcPr>
            <w:tcW w:w="1701" w:type="dxa"/>
          </w:tcPr>
          <w:p w:rsidR="00532A4F" w:rsidRDefault="00532A4F" w:rsidP="00434C0C">
            <w:pPr>
              <w:jc w:val="center"/>
            </w:pPr>
            <w:r>
              <w:t>49.3 HP</w:t>
            </w:r>
          </w:p>
        </w:tc>
        <w:tc>
          <w:tcPr>
            <w:tcW w:w="1984" w:type="dxa"/>
          </w:tcPr>
          <w:p w:rsidR="00532A4F" w:rsidRDefault="00532A4F" w:rsidP="00434C0C">
            <w:pPr>
              <w:jc w:val="center"/>
            </w:pPr>
            <w:r>
              <w:t>996 cm</w:t>
            </w:r>
            <w:r w:rsidRPr="00B511CF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434C0C" w:rsidP="00434C0C">
            <w:pPr>
              <w:jc w:val="center"/>
            </w:pPr>
            <w:r w:rsidRPr="00434C0C">
              <w:rPr>
                <w:color w:val="FF0000"/>
              </w:rPr>
              <w:t xml:space="preserve">49.5 </w:t>
            </w:r>
            <w:proofErr w:type="spellStart"/>
            <w:r w:rsidR="002F6A8F">
              <w:t>ch</w:t>
            </w:r>
            <w:proofErr w:type="spellEnd"/>
            <w:r w:rsidR="002F6A8F">
              <w:t>/L</w:t>
            </w:r>
          </w:p>
        </w:tc>
      </w:tr>
      <w:tr w:rsidR="00532A4F" w:rsidTr="006A458A">
        <w:trPr>
          <w:trHeight w:val="644"/>
        </w:trPr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6</w:t>
            </w:r>
          </w:p>
        </w:tc>
        <w:tc>
          <w:tcPr>
            <w:tcW w:w="3681" w:type="dxa"/>
          </w:tcPr>
          <w:p w:rsidR="00532A4F" w:rsidRDefault="00CB4C4C" w:rsidP="00C61BE4">
            <w:pPr>
              <w:jc w:val="center"/>
            </w:pPr>
            <w:r>
              <w:t>W 16 (BUGATTI CHI</w:t>
            </w:r>
            <w:r w:rsidR="00532A4F">
              <w:t>RON) essence</w:t>
            </w:r>
          </w:p>
          <w:p w:rsidR="00532A4F" w:rsidRDefault="00532A4F" w:rsidP="00C61BE4">
            <w:pPr>
              <w:jc w:val="center"/>
            </w:pPr>
          </w:p>
        </w:tc>
        <w:tc>
          <w:tcPr>
            <w:tcW w:w="1701" w:type="dxa"/>
          </w:tcPr>
          <w:p w:rsidR="00532A4F" w:rsidRDefault="00CB4C4C" w:rsidP="00434C0C">
            <w:pPr>
              <w:jc w:val="center"/>
            </w:pPr>
            <w:r>
              <w:t>1500</w:t>
            </w:r>
            <w:r w:rsidR="00532A4F">
              <w:t xml:space="preserve"> </w:t>
            </w:r>
            <w:proofErr w:type="spellStart"/>
            <w:r w:rsidR="00532A4F">
              <w:t>ch</w:t>
            </w:r>
            <w:proofErr w:type="spellEnd"/>
          </w:p>
        </w:tc>
        <w:tc>
          <w:tcPr>
            <w:tcW w:w="1984" w:type="dxa"/>
          </w:tcPr>
          <w:p w:rsidR="00532A4F" w:rsidRDefault="00434C0C" w:rsidP="00434C0C">
            <w:pPr>
              <w:jc w:val="center"/>
            </w:pPr>
            <w:r w:rsidRPr="00434C0C">
              <w:rPr>
                <w:color w:val="FF0000"/>
              </w:rPr>
              <w:t>8000</w:t>
            </w:r>
            <w:r w:rsidR="002F6A8F" w:rsidRPr="00434C0C">
              <w:rPr>
                <w:color w:val="FF0000"/>
              </w:rPr>
              <w:t xml:space="preserve">   </w:t>
            </w:r>
            <w:r w:rsidR="00532A4F">
              <w:t>cm</w:t>
            </w:r>
            <w:r w:rsidR="00532A4F" w:rsidRPr="00B511CF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CB4C4C" w:rsidP="00434C0C">
            <w:pPr>
              <w:jc w:val="center"/>
            </w:pPr>
            <w:r>
              <w:t>187,5</w:t>
            </w:r>
            <w:r w:rsidR="002F6A8F">
              <w:t xml:space="preserve"> </w:t>
            </w:r>
            <w:proofErr w:type="spellStart"/>
            <w:r w:rsidR="002F6A8F">
              <w:t>c</w:t>
            </w:r>
            <w:r w:rsidR="00532A4F">
              <w:t>h</w:t>
            </w:r>
            <w:proofErr w:type="spellEnd"/>
            <w:r w:rsidR="00532A4F">
              <w:t>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7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cargo Tanker 500000T</w:t>
            </w:r>
          </w:p>
          <w:p w:rsidR="00532A4F" w:rsidRDefault="001F582F" w:rsidP="00C61BE4">
            <w:pPr>
              <w:jc w:val="center"/>
            </w:pPr>
            <w:r>
              <w:t xml:space="preserve"> 12 </w:t>
            </w:r>
            <w:proofErr w:type="spellStart"/>
            <w:r>
              <w:t>cyl</w:t>
            </w:r>
            <w:proofErr w:type="spellEnd"/>
            <w:r>
              <w:t xml:space="preserve"> Diesel 2 T</w:t>
            </w:r>
          </w:p>
        </w:tc>
        <w:tc>
          <w:tcPr>
            <w:tcW w:w="1701" w:type="dxa"/>
          </w:tcPr>
          <w:p w:rsidR="001F582F" w:rsidRDefault="001F582F" w:rsidP="00434C0C">
            <w:pPr>
              <w:jc w:val="center"/>
            </w:pPr>
            <w:r>
              <w:t xml:space="preserve">61000 </w:t>
            </w:r>
            <w:proofErr w:type="spellStart"/>
            <w:r>
              <w:t>ch</w:t>
            </w:r>
            <w:proofErr w:type="spellEnd"/>
          </w:p>
          <w:p w:rsidR="00532A4F" w:rsidRDefault="00532A4F" w:rsidP="00434C0C">
            <w:pPr>
              <w:jc w:val="center"/>
            </w:pPr>
          </w:p>
        </w:tc>
        <w:tc>
          <w:tcPr>
            <w:tcW w:w="1984" w:type="dxa"/>
          </w:tcPr>
          <w:p w:rsidR="00532A4F" w:rsidRDefault="00434C0C" w:rsidP="00434C0C">
            <w:pPr>
              <w:jc w:val="center"/>
            </w:pPr>
            <w:r w:rsidRPr="00434C0C">
              <w:rPr>
                <w:color w:val="FF0000"/>
              </w:rPr>
              <w:t>7,625</w:t>
            </w:r>
            <w:r w:rsidR="001F582F" w:rsidRPr="00434C0C">
              <w:rPr>
                <w:color w:val="FF0000"/>
              </w:rPr>
              <w:t xml:space="preserve">  </w:t>
            </w:r>
            <w:r w:rsidR="00532A4F" w:rsidRPr="00434C0C">
              <w:rPr>
                <w:color w:val="FF0000"/>
              </w:rPr>
              <w:t xml:space="preserve"> </w:t>
            </w:r>
            <w:r w:rsidR="00532A4F">
              <w:t>m</w:t>
            </w:r>
            <w:r w:rsidR="00532A4F" w:rsidRPr="00B511CF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532A4F" w:rsidP="00434C0C">
            <w:pPr>
              <w:jc w:val="center"/>
            </w:pPr>
            <w:r>
              <w:t>8</w:t>
            </w:r>
            <w:r w:rsidR="002F6A8F">
              <w:t xml:space="preserve"> </w:t>
            </w:r>
            <w:proofErr w:type="spellStart"/>
            <w:r>
              <w:t>ch</w:t>
            </w:r>
            <w:proofErr w:type="spellEnd"/>
            <w:r>
              <w:t>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8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AZQ (VW POLO)</w:t>
            </w:r>
          </w:p>
          <w:p w:rsidR="00532A4F" w:rsidRDefault="00532A4F" w:rsidP="00C61BE4">
            <w:pPr>
              <w:jc w:val="center"/>
            </w:pPr>
            <w:r>
              <w:t xml:space="preserve">3 </w:t>
            </w:r>
            <w:proofErr w:type="spellStart"/>
            <w:r>
              <w:t>cyl</w:t>
            </w:r>
            <w:proofErr w:type="spellEnd"/>
            <w:r>
              <w:t xml:space="preserve"> essence</w:t>
            </w:r>
          </w:p>
        </w:tc>
        <w:tc>
          <w:tcPr>
            <w:tcW w:w="1701" w:type="dxa"/>
          </w:tcPr>
          <w:p w:rsidR="00532A4F" w:rsidRDefault="00532A4F" w:rsidP="00434C0C">
            <w:pPr>
              <w:jc w:val="center"/>
            </w:pPr>
            <w:r>
              <w:t xml:space="preserve">47 </w:t>
            </w:r>
            <w:proofErr w:type="spellStart"/>
            <w:r>
              <w:t>kw</w:t>
            </w:r>
            <w:proofErr w:type="spellEnd"/>
          </w:p>
        </w:tc>
        <w:tc>
          <w:tcPr>
            <w:tcW w:w="1984" w:type="dxa"/>
          </w:tcPr>
          <w:p w:rsidR="00532A4F" w:rsidRDefault="00532A4F" w:rsidP="00434C0C">
            <w:pPr>
              <w:jc w:val="center"/>
            </w:pPr>
            <w:r>
              <w:t>1198 cm</w:t>
            </w:r>
            <w:r w:rsidRPr="00B511CF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434C0C" w:rsidP="00434C0C">
            <w:pPr>
              <w:jc w:val="center"/>
            </w:pPr>
            <w:r w:rsidRPr="00434C0C">
              <w:rPr>
                <w:color w:val="FF0000"/>
              </w:rPr>
              <w:t>53,3</w:t>
            </w:r>
            <w:r w:rsidR="002F6A8F" w:rsidRPr="00434C0C">
              <w:rPr>
                <w:color w:val="FF0000"/>
              </w:rPr>
              <w:t xml:space="preserve">  </w:t>
            </w:r>
            <w:proofErr w:type="spellStart"/>
            <w:r w:rsidRPr="00434C0C">
              <w:t>ch</w:t>
            </w:r>
            <w:proofErr w:type="spellEnd"/>
            <w:r w:rsidRPr="00434C0C">
              <w:t>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9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2.5 TDI (VW TOUAREG)</w:t>
            </w:r>
          </w:p>
          <w:p w:rsidR="00532A4F" w:rsidRDefault="00532A4F" w:rsidP="00C61BE4">
            <w:pPr>
              <w:jc w:val="center"/>
            </w:pPr>
            <w:r>
              <w:t>4 cylindres diesel</w:t>
            </w:r>
          </w:p>
        </w:tc>
        <w:tc>
          <w:tcPr>
            <w:tcW w:w="1701" w:type="dxa"/>
          </w:tcPr>
          <w:p w:rsidR="00532A4F" w:rsidRDefault="00532A4F" w:rsidP="00434C0C">
            <w:pPr>
              <w:jc w:val="center"/>
            </w:pPr>
            <w:r>
              <w:t xml:space="preserve">128 </w:t>
            </w:r>
            <w:proofErr w:type="spellStart"/>
            <w:r>
              <w:t>kw</w:t>
            </w:r>
            <w:proofErr w:type="spellEnd"/>
          </w:p>
        </w:tc>
        <w:tc>
          <w:tcPr>
            <w:tcW w:w="1984" w:type="dxa"/>
          </w:tcPr>
          <w:p w:rsidR="00532A4F" w:rsidRDefault="00FE48B1" w:rsidP="00434C0C">
            <w:pPr>
              <w:jc w:val="center"/>
            </w:pPr>
            <w:r>
              <w:t>2460 cm</w:t>
            </w:r>
            <w:r w:rsidRPr="00FE48B1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434C0C" w:rsidP="00434C0C">
            <w:pPr>
              <w:jc w:val="center"/>
            </w:pPr>
            <w:r w:rsidRPr="00434C0C">
              <w:rPr>
                <w:color w:val="FF0000"/>
              </w:rPr>
              <w:t xml:space="preserve">70,7 </w:t>
            </w:r>
            <w:proofErr w:type="spellStart"/>
            <w:r w:rsidR="002F6A8F">
              <w:t>ch</w:t>
            </w:r>
            <w:proofErr w:type="spellEnd"/>
            <w:r w:rsidR="002F6A8F">
              <w:t>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10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DUCATI (</w:t>
            </w:r>
            <w:proofErr w:type="spellStart"/>
            <w:r>
              <w:t>superbike</w:t>
            </w:r>
            <w:proofErr w:type="spellEnd"/>
            <w:r>
              <w:t>)</w:t>
            </w:r>
          </w:p>
          <w:p w:rsidR="00532A4F" w:rsidRDefault="00532A4F" w:rsidP="00C61BE4">
            <w:pPr>
              <w:jc w:val="center"/>
            </w:pPr>
            <w:r>
              <w:t>bi cylindres</w:t>
            </w:r>
          </w:p>
        </w:tc>
        <w:tc>
          <w:tcPr>
            <w:tcW w:w="1701" w:type="dxa"/>
          </w:tcPr>
          <w:p w:rsidR="00532A4F" w:rsidRDefault="00434C0C" w:rsidP="00434C0C">
            <w:pPr>
              <w:jc w:val="center"/>
            </w:pPr>
            <w:r w:rsidRPr="00434C0C">
              <w:rPr>
                <w:color w:val="FF0000"/>
              </w:rPr>
              <w:t>157</w:t>
            </w:r>
            <w:r w:rsidR="002F6A8F" w:rsidRPr="00434C0C">
              <w:rPr>
                <w:color w:val="FF0000"/>
              </w:rPr>
              <w:t xml:space="preserve">      </w:t>
            </w:r>
            <w:proofErr w:type="spellStart"/>
            <w:r w:rsidR="00532A4F">
              <w:t>ch</w:t>
            </w:r>
            <w:proofErr w:type="spellEnd"/>
          </w:p>
        </w:tc>
        <w:tc>
          <w:tcPr>
            <w:tcW w:w="1984" w:type="dxa"/>
          </w:tcPr>
          <w:p w:rsidR="00532A4F" w:rsidRDefault="00532A4F" w:rsidP="00434C0C">
            <w:pPr>
              <w:jc w:val="center"/>
            </w:pPr>
            <w:r>
              <w:t>955 cm</w:t>
            </w:r>
            <w:r w:rsidRPr="00B511CF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2F6A8F" w:rsidP="00434C0C">
            <w:pPr>
              <w:jc w:val="center"/>
            </w:pPr>
            <w:r>
              <w:t xml:space="preserve">164,39 </w:t>
            </w:r>
            <w:proofErr w:type="spellStart"/>
            <w:r>
              <w:t>ch</w:t>
            </w:r>
            <w:proofErr w:type="spellEnd"/>
            <w:r>
              <w:t>/L</w:t>
            </w:r>
          </w:p>
        </w:tc>
      </w:tr>
      <w:tr w:rsidR="00532A4F" w:rsidTr="006A458A">
        <w:tc>
          <w:tcPr>
            <w:tcW w:w="992" w:type="dxa"/>
          </w:tcPr>
          <w:p w:rsidR="00532A4F" w:rsidRDefault="00532A4F" w:rsidP="00C61BE4">
            <w:pPr>
              <w:jc w:val="center"/>
            </w:pPr>
            <w:r>
              <w:t>11</w:t>
            </w:r>
          </w:p>
        </w:tc>
        <w:tc>
          <w:tcPr>
            <w:tcW w:w="3681" w:type="dxa"/>
          </w:tcPr>
          <w:p w:rsidR="00532A4F" w:rsidRDefault="00532A4F" w:rsidP="00C61BE4">
            <w:pPr>
              <w:jc w:val="center"/>
            </w:pPr>
            <w:r>
              <w:t>YAMAHA F21</w:t>
            </w:r>
          </w:p>
          <w:p w:rsidR="00532A4F" w:rsidRDefault="00532A4F" w:rsidP="00C61BE4">
            <w:pPr>
              <w:jc w:val="center"/>
            </w:pPr>
            <w:r>
              <w:t>bicylindres</w:t>
            </w:r>
          </w:p>
        </w:tc>
        <w:tc>
          <w:tcPr>
            <w:tcW w:w="1701" w:type="dxa"/>
          </w:tcPr>
          <w:p w:rsidR="00532A4F" w:rsidRDefault="00434C0C" w:rsidP="00434C0C">
            <w:pPr>
              <w:jc w:val="center"/>
            </w:pPr>
            <w:r w:rsidRPr="00434C0C">
              <w:rPr>
                <w:color w:val="FF0000"/>
              </w:rPr>
              <w:t>110</w:t>
            </w:r>
            <w:r w:rsidR="002F6A8F" w:rsidRPr="00434C0C">
              <w:rPr>
                <w:color w:val="FF0000"/>
              </w:rPr>
              <w:t xml:space="preserve">  </w:t>
            </w:r>
            <w:r w:rsidR="00532A4F" w:rsidRPr="00434C0C">
              <w:rPr>
                <w:color w:val="FF0000"/>
              </w:rPr>
              <w:t xml:space="preserve"> </w:t>
            </w:r>
            <w:proofErr w:type="spellStart"/>
            <w:r w:rsidR="00532A4F">
              <w:t>ch</w:t>
            </w:r>
            <w:proofErr w:type="spellEnd"/>
          </w:p>
        </w:tc>
        <w:tc>
          <w:tcPr>
            <w:tcW w:w="1984" w:type="dxa"/>
          </w:tcPr>
          <w:p w:rsidR="00532A4F" w:rsidRDefault="00532A4F" w:rsidP="00434C0C">
            <w:pPr>
              <w:jc w:val="center"/>
            </w:pPr>
            <w:r>
              <w:t>998 cm</w:t>
            </w:r>
            <w:r w:rsidRPr="00B511CF">
              <w:rPr>
                <w:vertAlign w:val="superscript"/>
              </w:rPr>
              <w:t>3</w:t>
            </w:r>
          </w:p>
        </w:tc>
        <w:tc>
          <w:tcPr>
            <w:tcW w:w="1707" w:type="dxa"/>
          </w:tcPr>
          <w:p w:rsidR="00532A4F" w:rsidRDefault="002F6A8F" w:rsidP="00434C0C">
            <w:pPr>
              <w:jc w:val="center"/>
            </w:pPr>
            <w:r>
              <w:t xml:space="preserve">110,22 </w:t>
            </w:r>
            <w:proofErr w:type="spellStart"/>
            <w:r>
              <w:t>ch</w:t>
            </w:r>
            <w:proofErr w:type="spellEnd"/>
            <w:r>
              <w:t>/L</w:t>
            </w:r>
          </w:p>
        </w:tc>
      </w:tr>
      <w:tr w:rsidR="00C055C3" w:rsidTr="006A458A">
        <w:tc>
          <w:tcPr>
            <w:tcW w:w="992" w:type="dxa"/>
          </w:tcPr>
          <w:p w:rsidR="00C055C3" w:rsidRDefault="00C055C3" w:rsidP="00C61BE4">
            <w:pPr>
              <w:jc w:val="center"/>
            </w:pPr>
            <w:r>
              <w:t>12</w:t>
            </w:r>
          </w:p>
          <w:p w:rsidR="00C055C3" w:rsidRDefault="00C055C3" w:rsidP="00C61BE4">
            <w:pPr>
              <w:jc w:val="center"/>
            </w:pPr>
          </w:p>
        </w:tc>
        <w:tc>
          <w:tcPr>
            <w:tcW w:w="3681" w:type="dxa"/>
          </w:tcPr>
          <w:p w:rsidR="00C055C3" w:rsidRDefault="00C055C3" w:rsidP="00C61BE4">
            <w:pPr>
              <w:jc w:val="center"/>
            </w:pPr>
            <w:r>
              <w:t>Harley Davidson (</w:t>
            </w:r>
            <w:proofErr w:type="spellStart"/>
            <w:r>
              <w:t>superglide</w:t>
            </w:r>
            <w:proofErr w:type="spellEnd"/>
            <w:r>
              <w:t>)</w:t>
            </w:r>
          </w:p>
          <w:p w:rsidR="00C055C3" w:rsidRDefault="00C055C3" w:rsidP="00C61BE4">
            <w:pPr>
              <w:jc w:val="center"/>
            </w:pPr>
            <w:r>
              <w:t>bicylindres</w:t>
            </w:r>
          </w:p>
        </w:tc>
        <w:tc>
          <w:tcPr>
            <w:tcW w:w="1701" w:type="dxa"/>
          </w:tcPr>
          <w:p w:rsidR="00C055C3" w:rsidRDefault="00C055C3" w:rsidP="00434C0C">
            <w:pPr>
              <w:jc w:val="center"/>
            </w:pPr>
            <w:r>
              <w:t xml:space="preserve">65 </w:t>
            </w:r>
            <w:proofErr w:type="spellStart"/>
            <w:r>
              <w:t>ch</w:t>
            </w:r>
            <w:proofErr w:type="spellEnd"/>
          </w:p>
        </w:tc>
        <w:tc>
          <w:tcPr>
            <w:tcW w:w="1984" w:type="dxa"/>
          </w:tcPr>
          <w:p w:rsidR="00C055C3" w:rsidRDefault="00C055C3" w:rsidP="00434C0C">
            <w:pPr>
              <w:jc w:val="center"/>
            </w:pPr>
            <w:r>
              <w:t>96 Ci</w:t>
            </w:r>
          </w:p>
        </w:tc>
        <w:tc>
          <w:tcPr>
            <w:tcW w:w="1707" w:type="dxa"/>
          </w:tcPr>
          <w:p w:rsidR="00C055C3" w:rsidRDefault="00434C0C" w:rsidP="00434C0C">
            <w:pPr>
              <w:jc w:val="center"/>
            </w:pPr>
            <w:r w:rsidRPr="00434C0C">
              <w:rPr>
                <w:color w:val="FF0000"/>
              </w:rPr>
              <w:t xml:space="preserve">41,3 </w:t>
            </w:r>
            <w:proofErr w:type="spellStart"/>
            <w:r w:rsidR="00C055C3">
              <w:t>ch</w:t>
            </w:r>
            <w:proofErr w:type="spellEnd"/>
            <w:r w:rsidR="00C055C3">
              <w:t>/L</w:t>
            </w:r>
          </w:p>
        </w:tc>
      </w:tr>
    </w:tbl>
    <w:p w:rsidR="005B7C0C" w:rsidRDefault="005B7C0C" w:rsidP="005B7C0C"/>
    <w:p w:rsidR="00193922" w:rsidRDefault="00193922" w:rsidP="005B7C0C"/>
    <w:p w:rsidR="00193922" w:rsidRDefault="00193922" w:rsidP="005B7C0C"/>
    <w:p w:rsidR="005B7C0C" w:rsidRDefault="005B7C0C" w:rsidP="005B7C0C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 w:rsidRPr="00193922">
        <w:rPr>
          <w:sz w:val="28"/>
          <w:szCs w:val="28"/>
          <w:u w:val="single"/>
        </w:rPr>
        <w:lastRenderedPageBreak/>
        <w:t>Analyse</w:t>
      </w:r>
      <w:r w:rsidR="00532A4F" w:rsidRPr="00193922">
        <w:rPr>
          <w:sz w:val="28"/>
          <w:szCs w:val="28"/>
          <w:u w:val="single"/>
        </w:rPr>
        <w:t xml:space="preserve"> mathématique et technologique</w:t>
      </w:r>
    </w:p>
    <w:p w:rsidR="00427FCB" w:rsidRPr="00427FCB" w:rsidRDefault="00427FCB" w:rsidP="00427FCB">
      <w:pPr>
        <w:pStyle w:val="Paragraphedeliste"/>
        <w:rPr>
          <w:color w:val="FF0000"/>
          <w:sz w:val="28"/>
          <w:szCs w:val="28"/>
        </w:rPr>
      </w:pPr>
      <w:r w:rsidRPr="00427FCB">
        <w:rPr>
          <w:color w:val="FF0000"/>
          <w:sz w:val="28"/>
          <w:szCs w:val="28"/>
        </w:rPr>
        <w:t>Equivalences et changements d’unités</w:t>
      </w:r>
    </w:p>
    <w:p w:rsidR="00532A4F" w:rsidRPr="00434C0C" w:rsidRDefault="00434C0C" w:rsidP="00434C0C">
      <w:pPr>
        <w:pStyle w:val="Paragraphedeliste"/>
        <w:rPr>
          <w:color w:val="FF0000"/>
        </w:rPr>
      </w:pPr>
      <w:r w:rsidRPr="00434C0C">
        <w:rPr>
          <w:color w:val="FF0000"/>
        </w:rPr>
        <w:t xml:space="preserve">1 </w:t>
      </w:r>
      <w:proofErr w:type="spellStart"/>
      <w:r w:rsidRPr="00434C0C">
        <w:rPr>
          <w:color w:val="FF0000"/>
        </w:rPr>
        <w:t>Ch</w:t>
      </w:r>
      <w:proofErr w:type="spellEnd"/>
      <w:r w:rsidRPr="00434C0C">
        <w:rPr>
          <w:color w:val="FF0000"/>
        </w:rPr>
        <w:t xml:space="preserve"> = 736w</w:t>
      </w:r>
    </w:p>
    <w:p w:rsidR="00434C0C" w:rsidRPr="00434C0C" w:rsidRDefault="00434C0C" w:rsidP="00434C0C">
      <w:pPr>
        <w:pStyle w:val="Paragraphedeliste"/>
        <w:rPr>
          <w:color w:val="FF0000"/>
        </w:rPr>
      </w:pPr>
      <w:r w:rsidRPr="00434C0C">
        <w:rPr>
          <w:color w:val="FF0000"/>
        </w:rPr>
        <w:t>1mL = 1cm3</w:t>
      </w:r>
    </w:p>
    <w:p w:rsidR="00434C0C" w:rsidRPr="00434C0C" w:rsidRDefault="00434C0C" w:rsidP="00434C0C">
      <w:pPr>
        <w:pStyle w:val="Paragraphedeliste"/>
        <w:rPr>
          <w:color w:val="FF0000"/>
        </w:rPr>
      </w:pPr>
      <w:r w:rsidRPr="00434C0C">
        <w:rPr>
          <w:color w:val="FF0000"/>
        </w:rPr>
        <w:t xml:space="preserve">1 CI= 1 </w:t>
      </w:r>
      <w:proofErr w:type="spellStart"/>
      <w:r w:rsidRPr="00434C0C">
        <w:rPr>
          <w:color w:val="FF0000"/>
        </w:rPr>
        <w:t>cubic</w:t>
      </w:r>
      <w:proofErr w:type="spellEnd"/>
      <w:r w:rsidRPr="00434C0C">
        <w:rPr>
          <w:color w:val="FF0000"/>
        </w:rPr>
        <w:t xml:space="preserve"> </w:t>
      </w:r>
      <w:proofErr w:type="spellStart"/>
      <w:r w:rsidRPr="00434C0C">
        <w:rPr>
          <w:color w:val="FF0000"/>
        </w:rPr>
        <w:t>inch</w:t>
      </w:r>
      <w:proofErr w:type="spellEnd"/>
      <w:r w:rsidRPr="00434C0C">
        <w:rPr>
          <w:color w:val="FF0000"/>
        </w:rPr>
        <w:t xml:space="preserve"> = 1 pouce </w:t>
      </w:r>
      <w:r w:rsidRPr="00427FCB">
        <w:rPr>
          <w:color w:val="FF0000"/>
          <w:vertAlign w:val="superscript"/>
        </w:rPr>
        <w:t>3</w:t>
      </w:r>
    </w:p>
    <w:p w:rsidR="00434C0C" w:rsidRDefault="00434C0C" w:rsidP="00434C0C">
      <w:pPr>
        <w:pStyle w:val="Paragraphedeliste"/>
        <w:rPr>
          <w:color w:val="FF0000"/>
        </w:rPr>
      </w:pPr>
      <w:r w:rsidRPr="00434C0C">
        <w:rPr>
          <w:color w:val="FF0000"/>
        </w:rPr>
        <w:t>1 pouce = 2.54cm</w:t>
      </w:r>
    </w:p>
    <w:p w:rsidR="00427FCB" w:rsidRDefault="00427FCB" w:rsidP="00434C0C">
      <w:pPr>
        <w:pStyle w:val="Paragraphedeliste"/>
        <w:rPr>
          <w:color w:val="FF0000"/>
        </w:rPr>
      </w:pPr>
    </w:p>
    <w:p w:rsidR="00434C0C" w:rsidRPr="00427FCB" w:rsidRDefault="00434C0C" w:rsidP="00434C0C">
      <w:pPr>
        <w:pStyle w:val="Paragraphedeliste"/>
        <w:rPr>
          <w:color w:val="FF0000"/>
          <w:sz w:val="28"/>
          <w:szCs w:val="28"/>
        </w:rPr>
      </w:pPr>
      <w:r w:rsidRPr="00427FCB">
        <w:rPr>
          <w:color w:val="FF0000"/>
          <w:sz w:val="28"/>
          <w:szCs w:val="28"/>
        </w:rPr>
        <w:t>Remarque 1 :</w:t>
      </w:r>
    </w:p>
    <w:p w:rsidR="00434C0C" w:rsidRDefault="00434C0C" w:rsidP="00434C0C">
      <w:pPr>
        <w:pStyle w:val="Paragraphedeliste"/>
        <w:rPr>
          <w:color w:val="FF0000"/>
        </w:rPr>
      </w:pPr>
      <w:r>
        <w:rPr>
          <w:color w:val="FF0000"/>
        </w:rPr>
        <w:t xml:space="preserve">La puissance spécifique est un indicateur du niveau de contraintes thermiques et mécaniques subies par le moteur </w:t>
      </w:r>
      <w:r w:rsidR="00193922">
        <w:rPr>
          <w:color w:val="FF0000"/>
        </w:rPr>
        <w:t>(donc</w:t>
      </w:r>
      <w:r>
        <w:rPr>
          <w:color w:val="FF0000"/>
        </w:rPr>
        <w:t xml:space="preserve"> de sa durabilité)</w:t>
      </w:r>
    </w:p>
    <w:p w:rsidR="00434C0C" w:rsidRDefault="00434C0C" w:rsidP="00434C0C">
      <w:pPr>
        <w:pStyle w:val="Paragraphedeliste"/>
        <w:rPr>
          <w:color w:val="FF0000"/>
        </w:rPr>
      </w:pPr>
    </w:p>
    <w:p w:rsidR="00434C0C" w:rsidRPr="00427FCB" w:rsidRDefault="00434C0C" w:rsidP="00434C0C">
      <w:pPr>
        <w:pStyle w:val="Paragraphedeliste"/>
        <w:rPr>
          <w:color w:val="FF0000"/>
          <w:sz w:val="28"/>
          <w:szCs w:val="28"/>
        </w:rPr>
      </w:pPr>
      <w:r w:rsidRPr="00427FCB">
        <w:rPr>
          <w:color w:val="FF0000"/>
          <w:sz w:val="28"/>
          <w:szCs w:val="28"/>
        </w:rPr>
        <w:t>Remarque 2 :</w:t>
      </w:r>
    </w:p>
    <w:p w:rsidR="00434C0C" w:rsidRDefault="00A56395" w:rsidP="00434C0C">
      <w:pPr>
        <w:pStyle w:val="Paragraphedeliste"/>
        <w:rPr>
          <w:color w:val="FF0000"/>
        </w:rPr>
      </w:pPr>
      <w:r>
        <w:rPr>
          <w:color w:val="FF0000"/>
        </w:rPr>
        <w:t xml:space="preserve">Plus la puissance spécifique est élevée, plus le rendement du moteur est bon </w:t>
      </w:r>
      <w:r w:rsidR="00193922">
        <w:rPr>
          <w:color w:val="FF0000"/>
        </w:rPr>
        <w:t>(au</w:t>
      </w:r>
      <w:r>
        <w:rPr>
          <w:color w:val="FF0000"/>
        </w:rPr>
        <w:t xml:space="preserve"> mieux 35% pour un moteur diesel …)</w:t>
      </w:r>
    </w:p>
    <w:p w:rsidR="00A56395" w:rsidRDefault="00A56395" w:rsidP="00434C0C">
      <w:pPr>
        <w:pStyle w:val="Paragraphedeliste"/>
        <w:rPr>
          <w:color w:val="FF0000"/>
        </w:rPr>
      </w:pPr>
      <w:r>
        <w:rPr>
          <w:color w:val="FF0000"/>
        </w:rPr>
        <w:t>Les constructeurs diminuent la cylindrée des moteurs et augmentent la puissance spécifique pour diminuer les consommations</w:t>
      </w:r>
      <w:r w:rsidR="00427FCB">
        <w:rPr>
          <w:color w:val="FF0000"/>
        </w:rPr>
        <w:t xml:space="preserve"> et les émissions de CO</w:t>
      </w:r>
      <w:r w:rsidR="00427FCB" w:rsidRPr="00427FCB">
        <w:rPr>
          <w:color w:val="FF0000"/>
          <w:vertAlign w:val="subscript"/>
        </w:rPr>
        <w:t xml:space="preserve">2 </w:t>
      </w:r>
    </w:p>
    <w:p w:rsidR="00427FCB" w:rsidRDefault="00A56395" w:rsidP="00434C0C">
      <w:pPr>
        <w:pStyle w:val="Paragraphedeliste"/>
        <w:rPr>
          <w:color w:val="FF0000"/>
        </w:rPr>
      </w:pPr>
      <w:r>
        <w:rPr>
          <w:color w:val="FF0000"/>
        </w:rPr>
        <w:t xml:space="preserve">On appelle cette tendance le « down </w:t>
      </w:r>
      <w:proofErr w:type="spellStart"/>
      <w:r>
        <w:rPr>
          <w:color w:val="FF0000"/>
        </w:rPr>
        <w:t>sizing</w:t>
      </w:r>
      <w:proofErr w:type="spellEnd"/>
      <w:r>
        <w:rPr>
          <w:color w:val="FF0000"/>
        </w:rPr>
        <w:t xml:space="preserve"> » </w:t>
      </w:r>
    </w:p>
    <w:p w:rsidR="00427FCB" w:rsidRDefault="00427FCB" w:rsidP="00434C0C">
      <w:pPr>
        <w:pStyle w:val="Paragraphedeliste"/>
        <w:rPr>
          <w:color w:val="FF0000"/>
        </w:rPr>
      </w:pPr>
    </w:p>
    <w:p w:rsidR="00427FCB" w:rsidRPr="00427FCB" w:rsidRDefault="00427FCB" w:rsidP="00434C0C">
      <w:pPr>
        <w:pStyle w:val="Paragraphedeliste"/>
        <w:rPr>
          <w:color w:val="FF0000"/>
          <w:sz w:val="28"/>
          <w:szCs w:val="28"/>
        </w:rPr>
      </w:pPr>
      <w:r w:rsidRPr="00427FCB">
        <w:rPr>
          <w:color w:val="FF0000"/>
          <w:sz w:val="28"/>
          <w:szCs w:val="28"/>
        </w:rPr>
        <w:t>Remarque 3 :</w:t>
      </w:r>
    </w:p>
    <w:p w:rsidR="001D7832" w:rsidRDefault="001D7832" w:rsidP="00434C0C">
      <w:pPr>
        <w:pStyle w:val="Paragraphedeliste"/>
        <w:rPr>
          <w:color w:val="FF0000"/>
        </w:rPr>
      </w:pPr>
      <w:r>
        <w:rPr>
          <w:color w:val="FF0000"/>
        </w:rPr>
        <w:t xml:space="preserve">Pour Les moteurs récents, les constructeurs cherchent à  baisser les vitesses de rotation afin de </w:t>
      </w:r>
      <w:r w:rsidR="00A56395">
        <w:rPr>
          <w:color w:val="FF0000"/>
        </w:rPr>
        <w:t xml:space="preserve"> diminue</w:t>
      </w:r>
      <w:r>
        <w:rPr>
          <w:color w:val="FF0000"/>
        </w:rPr>
        <w:t>r</w:t>
      </w:r>
      <w:r w:rsidR="00A56395">
        <w:rPr>
          <w:color w:val="FF0000"/>
        </w:rPr>
        <w:t xml:space="preserve"> les pertes </w:t>
      </w:r>
      <w:r>
        <w:rPr>
          <w:color w:val="FF0000"/>
        </w:rPr>
        <w:t xml:space="preserve">internes </w:t>
      </w:r>
      <w:r w:rsidR="00A56395">
        <w:rPr>
          <w:color w:val="FF0000"/>
        </w:rPr>
        <w:t>par frottement qui évoluent avec le cube de la vitesse de rotation</w:t>
      </w:r>
      <w:r>
        <w:rPr>
          <w:color w:val="FF0000"/>
        </w:rPr>
        <w:t>.</w:t>
      </w:r>
    </w:p>
    <w:p w:rsidR="00A56395" w:rsidRDefault="001D7832" w:rsidP="00434C0C">
      <w:pPr>
        <w:pStyle w:val="Paragraphedeliste"/>
        <w:rPr>
          <w:color w:val="FF0000"/>
        </w:rPr>
      </w:pPr>
      <w:r>
        <w:rPr>
          <w:color w:val="FF0000"/>
        </w:rPr>
        <w:t>O</w:t>
      </w:r>
      <w:r w:rsidR="00A56395">
        <w:rPr>
          <w:color w:val="FF0000"/>
        </w:rPr>
        <w:t>n pa</w:t>
      </w:r>
      <w:r>
        <w:rPr>
          <w:color w:val="FF0000"/>
        </w:rPr>
        <w:t xml:space="preserve">rle alors de « down  </w:t>
      </w:r>
      <w:proofErr w:type="spellStart"/>
      <w:r>
        <w:rPr>
          <w:color w:val="FF0000"/>
        </w:rPr>
        <w:t>speeding</w:t>
      </w:r>
      <w:proofErr w:type="spellEnd"/>
      <w:r>
        <w:rPr>
          <w:color w:val="FF0000"/>
        </w:rPr>
        <w:t> »</w:t>
      </w:r>
    </w:p>
    <w:p w:rsidR="00A56395" w:rsidRDefault="00A56395" w:rsidP="00434C0C">
      <w:pPr>
        <w:pStyle w:val="Paragraphedeliste"/>
        <w:rPr>
          <w:color w:val="FF0000"/>
        </w:rPr>
      </w:pPr>
    </w:p>
    <w:p w:rsidR="00A56395" w:rsidRPr="001D7832" w:rsidRDefault="001D7832" w:rsidP="00434C0C">
      <w:pPr>
        <w:pStyle w:val="Paragraphedeliste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Remarque 4</w:t>
      </w:r>
      <w:r w:rsidR="00A56395" w:rsidRPr="001D7832">
        <w:rPr>
          <w:color w:val="FF0000"/>
          <w:sz w:val="28"/>
          <w:szCs w:val="28"/>
        </w:rPr>
        <w:t> :</w:t>
      </w:r>
    </w:p>
    <w:p w:rsidR="00A56395" w:rsidRPr="00434C0C" w:rsidRDefault="00A56395" w:rsidP="00434C0C">
      <w:pPr>
        <w:pStyle w:val="Paragraphedeliste"/>
        <w:rPr>
          <w:color w:val="FF0000"/>
        </w:rPr>
      </w:pPr>
      <w:r>
        <w:rPr>
          <w:color w:val="FF0000"/>
        </w:rPr>
        <w:t xml:space="preserve">La suralimentation est un moyen très efficace pour augmenter la puissance spécifique (la grande majorité des moteurs modernes sont </w:t>
      </w:r>
      <w:r w:rsidR="001D7832">
        <w:rPr>
          <w:color w:val="FF0000"/>
        </w:rPr>
        <w:t xml:space="preserve">donc </w:t>
      </w:r>
      <w:r>
        <w:rPr>
          <w:color w:val="FF0000"/>
        </w:rPr>
        <w:t>suralimentés avec une faible cylindrée et une faible vitesse de rotation maxi</w:t>
      </w:r>
      <w:r w:rsidR="001D7832">
        <w:rPr>
          <w:color w:val="FF0000"/>
        </w:rPr>
        <w:t>)</w:t>
      </w:r>
    </w:p>
    <w:p w:rsidR="00434C0C" w:rsidRDefault="00434C0C" w:rsidP="00434C0C">
      <w:pPr>
        <w:pStyle w:val="Paragraphedeliste"/>
      </w:pPr>
    </w:p>
    <w:p w:rsidR="00532A4F" w:rsidRDefault="00532A4F" w:rsidP="00FF5357">
      <w:bookmarkStart w:id="0" w:name="_GoBack"/>
      <w:bookmarkEnd w:id="0"/>
    </w:p>
    <w:sectPr w:rsidR="00532A4F" w:rsidSect="00B43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0C3C"/>
    <w:multiLevelType w:val="hybridMultilevel"/>
    <w:tmpl w:val="034A8B34"/>
    <w:lvl w:ilvl="0" w:tplc="F6C2F4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073B"/>
    <w:multiLevelType w:val="hybridMultilevel"/>
    <w:tmpl w:val="FFBA3F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04"/>
    <w:rsid w:val="00042C35"/>
    <w:rsid w:val="0017696D"/>
    <w:rsid w:val="00193922"/>
    <w:rsid w:val="001D7832"/>
    <w:rsid w:val="001F2CB7"/>
    <w:rsid w:val="001F582F"/>
    <w:rsid w:val="002F6A8F"/>
    <w:rsid w:val="00367082"/>
    <w:rsid w:val="00427FCB"/>
    <w:rsid w:val="00434C0C"/>
    <w:rsid w:val="0043662E"/>
    <w:rsid w:val="00532A4F"/>
    <w:rsid w:val="005B0504"/>
    <w:rsid w:val="005B7C0C"/>
    <w:rsid w:val="006928CD"/>
    <w:rsid w:val="006A458A"/>
    <w:rsid w:val="007929CE"/>
    <w:rsid w:val="007E468D"/>
    <w:rsid w:val="008F5B6A"/>
    <w:rsid w:val="009E6C1A"/>
    <w:rsid w:val="00A56395"/>
    <w:rsid w:val="00B43D12"/>
    <w:rsid w:val="00B511CF"/>
    <w:rsid w:val="00C055C3"/>
    <w:rsid w:val="00C61BE4"/>
    <w:rsid w:val="00C955EB"/>
    <w:rsid w:val="00CB4C4C"/>
    <w:rsid w:val="00D9589C"/>
    <w:rsid w:val="00E21762"/>
    <w:rsid w:val="00F5577D"/>
    <w:rsid w:val="00FE48B1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D0B79-33CE-434E-BD71-4B5C214B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5B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maucourant</dc:creator>
  <cp:keywords/>
  <dc:description/>
  <cp:lastModifiedBy>gerard maucourant</cp:lastModifiedBy>
  <cp:revision>8</cp:revision>
  <cp:lastPrinted>2016-09-14T19:53:00Z</cp:lastPrinted>
  <dcterms:created xsi:type="dcterms:W3CDTF">2016-10-11T13:36:00Z</dcterms:created>
  <dcterms:modified xsi:type="dcterms:W3CDTF">2017-11-21T09:56:00Z</dcterms:modified>
</cp:coreProperties>
</file>