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6D" w:rsidRDefault="00DC3CD9" w:rsidP="002C4E32">
      <w:pPr>
        <w:jc w:val="center"/>
        <w:rPr>
          <w:sz w:val="32"/>
          <w:szCs w:val="32"/>
          <w:u w:val="single"/>
        </w:rPr>
      </w:pPr>
      <w:r w:rsidRPr="002C4E32">
        <w:rPr>
          <w:sz w:val="32"/>
          <w:szCs w:val="32"/>
          <w:u w:val="single"/>
        </w:rPr>
        <w:t xml:space="preserve">Co enseignement Mathématiques- </w:t>
      </w:r>
      <w:r w:rsidR="002C4E32" w:rsidRPr="002C4E32">
        <w:rPr>
          <w:sz w:val="32"/>
          <w:szCs w:val="32"/>
          <w:u w:val="single"/>
        </w:rPr>
        <w:t>Technologie Interventions Véhicules</w:t>
      </w:r>
    </w:p>
    <w:p w:rsidR="002C4E32" w:rsidRPr="002C4E32" w:rsidRDefault="00AB34D1" w:rsidP="002C4E3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PRESSION DE COMPRESSION</w:t>
      </w:r>
    </w:p>
    <w:p w:rsidR="0017696D" w:rsidRPr="002C4E32" w:rsidRDefault="0017696D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Contexte</w:t>
      </w:r>
    </w:p>
    <w:p w:rsidR="00367082" w:rsidRPr="001C6008" w:rsidRDefault="00423CF6" w:rsidP="005B7C0C">
      <w:pPr>
        <w:rPr>
          <w:sz w:val="24"/>
          <w:szCs w:val="24"/>
        </w:rPr>
      </w:pPr>
      <w:r w:rsidRPr="00423CF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459105</wp:posOffset>
            </wp:positionV>
            <wp:extent cx="428625" cy="3619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D12" w:rsidRPr="001C6008">
        <w:rPr>
          <w:sz w:val="24"/>
          <w:szCs w:val="24"/>
        </w:rPr>
        <w:t>La p</w:t>
      </w:r>
      <w:r w:rsidR="001F0A3C" w:rsidRPr="001C6008">
        <w:rPr>
          <w:sz w:val="24"/>
          <w:szCs w:val="24"/>
        </w:rPr>
        <w:t xml:space="preserve">ression relevée au </w:t>
      </w:r>
      <w:proofErr w:type="spellStart"/>
      <w:r w:rsidR="001F0A3C" w:rsidRPr="001C6008">
        <w:rPr>
          <w:sz w:val="24"/>
          <w:szCs w:val="24"/>
        </w:rPr>
        <w:t>compressiomètre</w:t>
      </w:r>
      <w:proofErr w:type="spellEnd"/>
      <w:r w:rsidR="001F0A3C" w:rsidRPr="001C6008">
        <w:rPr>
          <w:sz w:val="24"/>
          <w:szCs w:val="24"/>
        </w:rPr>
        <w:t xml:space="preserve"> sur un moteur renseigne sur </w:t>
      </w:r>
      <w:r w:rsidR="001C6008" w:rsidRPr="001C6008">
        <w:rPr>
          <w:sz w:val="24"/>
          <w:szCs w:val="24"/>
        </w:rPr>
        <w:t>l’étanchéité</w:t>
      </w:r>
      <w:r w:rsidR="001F0A3C" w:rsidRPr="001C6008">
        <w:rPr>
          <w:sz w:val="24"/>
          <w:szCs w:val="24"/>
        </w:rPr>
        <w:t xml:space="preserve"> interne de la chambre de combustion. La valeur théorique de pression atteinte en fin de compression est en grande partie fonction du </w:t>
      </w:r>
      <w:r>
        <w:rPr>
          <w:sz w:val="24"/>
          <w:szCs w:val="24"/>
        </w:rPr>
        <w:t xml:space="preserve">rapport volumétrique du moteur </w:t>
      </w:r>
    </w:p>
    <w:p w:rsidR="005B7C0C" w:rsidRPr="002C4E32" w:rsidRDefault="00AB34D1" w:rsidP="00AB34D1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AB34D1"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222250</wp:posOffset>
            </wp:positionV>
            <wp:extent cx="1219200" cy="4572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C0C" w:rsidRPr="002C4E32">
        <w:rPr>
          <w:sz w:val="28"/>
          <w:szCs w:val="28"/>
          <w:u w:val="single"/>
        </w:rPr>
        <w:t>Données</w:t>
      </w:r>
    </w:p>
    <w:p w:rsidR="00367082" w:rsidRPr="001C6008" w:rsidRDefault="00367082" w:rsidP="00367082">
      <w:pPr>
        <w:rPr>
          <w:sz w:val="24"/>
          <w:szCs w:val="24"/>
        </w:rPr>
      </w:pPr>
    </w:p>
    <w:p w:rsidR="00367082" w:rsidRPr="001C6008" w:rsidRDefault="00367082" w:rsidP="00367082">
      <w:pPr>
        <w:pStyle w:val="Paragraphedeliste"/>
        <w:rPr>
          <w:sz w:val="24"/>
          <w:szCs w:val="24"/>
        </w:rPr>
      </w:pPr>
    </w:p>
    <w:p w:rsidR="001F0A3C" w:rsidRPr="001C6008" w:rsidRDefault="00C72808" w:rsidP="00367082">
      <w:pPr>
        <w:pStyle w:val="Paragraphedeliste"/>
        <w:rPr>
          <w:sz w:val="24"/>
          <w:szCs w:val="24"/>
        </w:rPr>
      </w:pPr>
      <w:r w:rsidRPr="001C600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BDD8CF4" wp14:editId="3D753E8A">
            <wp:simplePos x="0" y="0"/>
            <wp:positionH relativeFrom="column">
              <wp:posOffset>1295400</wp:posOffset>
            </wp:positionH>
            <wp:positionV relativeFrom="paragraph">
              <wp:posOffset>67310</wp:posOffset>
            </wp:positionV>
            <wp:extent cx="3705225" cy="3305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ressi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13798" r="27622" b="17806"/>
                    <a:stretch/>
                  </pic:blipFill>
                  <pic:spPr bwMode="auto">
                    <a:xfrm>
                      <a:off x="0" y="0"/>
                      <a:ext cx="370522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2C4E32" w:rsidRDefault="002C4E32" w:rsidP="006677E9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Calcul de la p</w:t>
      </w:r>
      <w:r w:rsidR="00C72808" w:rsidRPr="002C4E32">
        <w:rPr>
          <w:sz w:val="28"/>
          <w:szCs w:val="28"/>
          <w:u w:val="single"/>
        </w:rPr>
        <w:t>ression de fin de compression maximale théorique</w:t>
      </w:r>
    </w:p>
    <w:p w:rsidR="00C72808" w:rsidRPr="001C6008" w:rsidRDefault="00C72808" w:rsidP="00C72808">
      <w:pPr>
        <w:pStyle w:val="Paragraphedeliste"/>
        <w:rPr>
          <w:sz w:val="24"/>
          <w:szCs w:val="24"/>
        </w:rPr>
      </w:pPr>
      <w:r w:rsidRPr="001C6008">
        <w:rPr>
          <w:sz w:val="24"/>
          <w:szCs w:val="24"/>
        </w:rPr>
        <w:t>Dans un moteur idéal, sans fuites internes, sans perte de chaleur entre le cylindre et l’extérieur, on dit que la compression est « adiabatique » c’est à dire idéale.</w:t>
      </w:r>
    </w:p>
    <w:p w:rsidR="00C72808" w:rsidRPr="001C6008" w:rsidRDefault="00C72808" w:rsidP="00C72808">
      <w:pPr>
        <w:pStyle w:val="Paragraphedeliste"/>
        <w:rPr>
          <w:sz w:val="24"/>
          <w:szCs w:val="24"/>
        </w:rPr>
      </w:pPr>
      <w:r w:rsidRPr="001C6008">
        <w:rPr>
          <w:sz w:val="24"/>
          <w:szCs w:val="24"/>
        </w:rPr>
        <w:t xml:space="preserve">La valeur de pression de compression est alors calculée avec </w:t>
      </w:r>
      <w:r w:rsidR="002C4E32">
        <w:rPr>
          <w:sz w:val="24"/>
          <w:szCs w:val="24"/>
        </w:rPr>
        <w:t>l’exposant</w:t>
      </w:r>
      <w:r w:rsidR="00DC3CD9">
        <w:rPr>
          <w:sz w:val="24"/>
          <w:szCs w:val="24"/>
        </w:rPr>
        <w:t xml:space="preserve"> </w:t>
      </w:r>
      <w:r w:rsidRPr="001C6008">
        <w:rPr>
          <w:sz w:val="24"/>
          <w:szCs w:val="24"/>
        </w:rPr>
        <w:t xml:space="preserve">gamma = 1,4 </w:t>
      </w:r>
    </w:p>
    <w:p w:rsidR="00C72808" w:rsidRPr="001C6008" w:rsidRDefault="001C6008" w:rsidP="00C7280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(</w:t>
      </w:r>
      <w:r w:rsidR="002C4E32" w:rsidRPr="001C6008">
        <w:rPr>
          <w:sz w:val="24"/>
          <w:szCs w:val="24"/>
        </w:rPr>
        <w:t>Gamma</w:t>
      </w:r>
      <w:r w:rsidR="00C72808" w:rsidRPr="001C6008">
        <w:rPr>
          <w:sz w:val="24"/>
          <w:szCs w:val="24"/>
        </w:rPr>
        <w:t xml:space="preserve"> = coefficient adiabatique)</w:t>
      </w:r>
    </w:p>
    <w:p w:rsidR="005B7C0C" w:rsidRPr="001C6008" w:rsidRDefault="00C72808" w:rsidP="00C72808">
      <w:pPr>
        <w:rPr>
          <w:sz w:val="24"/>
          <w:szCs w:val="24"/>
        </w:rPr>
      </w:pPr>
      <w:r w:rsidRPr="001C6008">
        <w:rPr>
          <w:sz w:val="24"/>
          <w:szCs w:val="24"/>
        </w:rPr>
        <w:t>Calculez les valeurs de pressions de compressions théoriques pour les moteurs suivants :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moteur essence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moteur diesel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AUDI  2.0</w:t>
            </w:r>
            <w:r w:rsidRPr="003876C1">
              <w:t xml:space="preserve"> T</w:t>
            </w:r>
            <w:r>
              <w:t>DI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rapport volumétrique = 16,5</w:t>
            </w:r>
            <w:r w:rsidRPr="003876C1">
              <w:t xml:space="preserve"> : 1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valeur de pression de fin de compression « adiabatique »</w:t>
            </w: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1C6008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1C6008">
            <w:pPr>
              <w:jc w:val="center"/>
              <w:rPr>
                <w:sz w:val="24"/>
                <w:szCs w:val="24"/>
              </w:rPr>
            </w:pPr>
          </w:p>
          <w:p w:rsidR="003C749A" w:rsidRPr="001C6008" w:rsidRDefault="003C749A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1C6008" w:rsidRDefault="001C6008" w:rsidP="00FE3B15">
            <w:pPr>
              <w:jc w:val="center"/>
            </w:pPr>
            <w:r w:rsidRPr="003876C1">
              <w:t>valeur de pression de fin de compression</w:t>
            </w:r>
          </w:p>
          <w:p w:rsidR="00FE3B15" w:rsidRDefault="001C6008" w:rsidP="00FE3B15">
            <w:pPr>
              <w:jc w:val="center"/>
            </w:pPr>
            <w:r w:rsidRPr="003876C1">
              <w:t>« adiabatique »</w:t>
            </w:r>
          </w:p>
          <w:p w:rsidR="00FE3B15" w:rsidRDefault="00FE3B15" w:rsidP="00FE3B15">
            <w:pPr>
              <w:jc w:val="center"/>
            </w:pPr>
          </w:p>
          <w:p w:rsidR="00FE3B15" w:rsidRDefault="00FE3B15" w:rsidP="00FE3B15">
            <w:pPr>
              <w:jc w:val="center"/>
            </w:pPr>
          </w:p>
          <w:p w:rsidR="001C6008" w:rsidRPr="00FE3B15" w:rsidRDefault="001C6008" w:rsidP="00FE3B15">
            <w:pPr>
              <w:tabs>
                <w:tab w:val="left" w:pos="1290"/>
              </w:tabs>
              <w:jc w:val="center"/>
            </w:pPr>
          </w:p>
        </w:tc>
      </w:tr>
    </w:tbl>
    <w:p w:rsidR="001C6008" w:rsidRPr="002C4E32" w:rsidRDefault="002C4E32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Détermination du </w:t>
      </w:r>
      <w:r w:rsidR="001C6008" w:rsidRPr="002C4E32">
        <w:rPr>
          <w:sz w:val="28"/>
          <w:szCs w:val="28"/>
          <w:u w:val="single"/>
        </w:rPr>
        <w:t>coefficient gamma  à partir de relevés réels</w:t>
      </w:r>
      <w:r w:rsidR="00DC3CD9" w:rsidRPr="002C4E32">
        <w:rPr>
          <w:sz w:val="28"/>
          <w:szCs w:val="28"/>
          <w:u w:val="single"/>
        </w:rPr>
        <w:t xml:space="preserve"> faits </w:t>
      </w:r>
      <w:r w:rsidR="001C6008" w:rsidRPr="002C4E32">
        <w:rPr>
          <w:sz w:val="28"/>
          <w:szCs w:val="28"/>
          <w:u w:val="single"/>
        </w:rPr>
        <w:t xml:space="preserve"> à l’atelier</w:t>
      </w:r>
    </w:p>
    <w:p w:rsidR="001C6008" w:rsidRPr="00EF2D2E" w:rsidRDefault="001C6008" w:rsidP="001C6008">
      <w:pPr>
        <w:rPr>
          <w:sz w:val="24"/>
          <w:szCs w:val="24"/>
        </w:rPr>
      </w:pPr>
      <w:r w:rsidRPr="00EF2D2E">
        <w:rPr>
          <w:sz w:val="24"/>
          <w:szCs w:val="24"/>
        </w:rPr>
        <w:t>En réalité, la valeur de pression de compression réelle est inférieure à la valeur théorique pour les raisons suivantes :</w:t>
      </w:r>
    </w:p>
    <w:p w:rsidR="003C749A" w:rsidRDefault="003C749A" w:rsidP="001C6008">
      <w:pPr>
        <w:rPr>
          <w:sz w:val="24"/>
          <w:szCs w:val="24"/>
        </w:rPr>
      </w:pPr>
    </w:p>
    <w:p w:rsidR="003C749A" w:rsidRDefault="003C749A" w:rsidP="001C6008">
      <w:pPr>
        <w:rPr>
          <w:sz w:val="24"/>
          <w:szCs w:val="24"/>
        </w:rPr>
      </w:pPr>
    </w:p>
    <w:p w:rsidR="003C749A" w:rsidRDefault="003C749A" w:rsidP="001C6008">
      <w:pPr>
        <w:rPr>
          <w:sz w:val="24"/>
          <w:szCs w:val="24"/>
        </w:rPr>
      </w:pPr>
    </w:p>
    <w:p w:rsidR="003C749A" w:rsidRDefault="003C749A" w:rsidP="001C6008">
      <w:pPr>
        <w:rPr>
          <w:sz w:val="24"/>
          <w:szCs w:val="24"/>
        </w:rPr>
      </w:pPr>
    </w:p>
    <w:p w:rsidR="003C749A" w:rsidRDefault="003C749A" w:rsidP="001C6008">
      <w:pPr>
        <w:rPr>
          <w:sz w:val="24"/>
          <w:szCs w:val="24"/>
        </w:rPr>
      </w:pPr>
    </w:p>
    <w:p w:rsidR="001C6008" w:rsidRPr="00EF2D2E" w:rsidRDefault="001C6008" w:rsidP="001C6008">
      <w:pPr>
        <w:rPr>
          <w:sz w:val="24"/>
          <w:szCs w:val="24"/>
        </w:rPr>
      </w:pPr>
      <w:r w:rsidRPr="00EF2D2E">
        <w:rPr>
          <w:sz w:val="24"/>
          <w:szCs w:val="24"/>
        </w:rPr>
        <w:t>Calculez la valeur du coefficient gamma à partir des relevés suivants faits à l’atelier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moteur essence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moteur diesel</w:t>
            </w:r>
          </w:p>
        </w:tc>
      </w:tr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2.0 TDI</w:t>
            </w:r>
          </w:p>
        </w:tc>
      </w:tr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16,5 : 1</w:t>
            </w:r>
          </w:p>
        </w:tc>
      </w:tr>
      <w:tr w:rsidR="001C6008" w:rsidRPr="00EF2D2E" w:rsidTr="001C6008">
        <w:trPr>
          <w:trHeight w:val="749"/>
        </w:trPr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valeur de pression de fin de compression relevée </w:t>
            </w:r>
          </w:p>
          <w:p w:rsidR="001C6008" w:rsidRPr="00EF2D2E" w:rsidRDefault="001C6008" w:rsidP="001C6008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à </w:t>
            </w:r>
            <w:r w:rsidR="00EF2D2E" w:rsidRPr="00EF2D2E">
              <w:rPr>
                <w:sz w:val="24"/>
                <w:szCs w:val="24"/>
              </w:rPr>
              <w:t>l’atelier</w:t>
            </w:r>
            <w:r w:rsidRPr="00EF2D2E">
              <w:rPr>
                <w:sz w:val="24"/>
                <w:szCs w:val="24"/>
              </w:rPr>
              <w:t xml:space="preserve"> = 12,5 bars</w:t>
            </w:r>
          </w:p>
        </w:tc>
        <w:tc>
          <w:tcPr>
            <w:tcW w:w="5540" w:type="dxa"/>
          </w:tcPr>
          <w:p w:rsidR="001C6008" w:rsidRPr="00EF2D2E" w:rsidRDefault="001C6008" w:rsidP="001C6008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valeur de pression de fin de compression relevée </w:t>
            </w:r>
          </w:p>
          <w:p w:rsidR="001C6008" w:rsidRPr="00EF2D2E" w:rsidRDefault="004A7CBB" w:rsidP="001C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l’atelier = 26</w:t>
            </w:r>
            <w:r w:rsidR="001C6008" w:rsidRPr="00EF2D2E">
              <w:rPr>
                <w:sz w:val="24"/>
                <w:szCs w:val="24"/>
              </w:rPr>
              <w:t xml:space="preserve"> bars</w:t>
            </w:r>
          </w:p>
        </w:tc>
      </w:tr>
      <w:tr w:rsidR="001C6008" w:rsidRPr="00EF2D2E" w:rsidTr="001C6008">
        <w:trPr>
          <w:trHeight w:val="749"/>
        </w:trPr>
        <w:tc>
          <w:tcPr>
            <w:tcW w:w="5517" w:type="dxa"/>
          </w:tcPr>
          <w:p w:rsidR="00EF2D2E" w:rsidRPr="00EF2D2E" w:rsidRDefault="00EF2D2E" w:rsidP="003C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1C6008" w:rsidRDefault="001C6008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Pr="00FE3B15" w:rsidRDefault="003C749A" w:rsidP="003C74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008" w:rsidRPr="00EF2D2E" w:rsidRDefault="001C6008" w:rsidP="001C6008">
      <w:pPr>
        <w:rPr>
          <w:sz w:val="24"/>
          <w:szCs w:val="24"/>
        </w:rPr>
      </w:pPr>
    </w:p>
    <w:p w:rsidR="00EF2D2E" w:rsidRPr="002C4E32" w:rsidRDefault="002C4E32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Estimation </w:t>
      </w:r>
      <w:r w:rsidR="00EF2D2E" w:rsidRPr="002C4E32">
        <w:rPr>
          <w:sz w:val="28"/>
          <w:szCs w:val="28"/>
          <w:u w:val="single"/>
        </w:rPr>
        <w:t xml:space="preserve"> de la température </w:t>
      </w:r>
      <w:r>
        <w:rPr>
          <w:sz w:val="28"/>
          <w:szCs w:val="28"/>
          <w:u w:val="single"/>
        </w:rPr>
        <w:t>dans le cylindre en</w:t>
      </w:r>
      <w:r w:rsidR="00EF2D2E" w:rsidRPr="002C4E32">
        <w:rPr>
          <w:sz w:val="28"/>
          <w:szCs w:val="28"/>
          <w:u w:val="single"/>
        </w:rPr>
        <w:t xml:space="preserve"> fin de compression</w:t>
      </w:r>
    </w:p>
    <w:p w:rsidR="00EF2D2E" w:rsidRDefault="00AB34D1" w:rsidP="00EF2D2E">
      <w:pPr>
        <w:pStyle w:val="Paragraphedeliste"/>
        <w:rPr>
          <w:sz w:val="24"/>
          <w:szCs w:val="24"/>
        </w:rPr>
      </w:pPr>
      <w:r w:rsidRPr="00AB34D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278765</wp:posOffset>
            </wp:positionV>
            <wp:extent cx="1314450" cy="4572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CD9">
        <w:rPr>
          <w:sz w:val="24"/>
          <w:szCs w:val="24"/>
        </w:rPr>
        <w:t>Utilisez la formule suivante pour calculer</w:t>
      </w:r>
      <w:r w:rsidR="00EF2D2E">
        <w:rPr>
          <w:sz w:val="24"/>
          <w:szCs w:val="24"/>
        </w:rPr>
        <w:t xml:space="preserve"> la température </w:t>
      </w:r>
      <w:r w:rsidR="00DC3CD9">
        <w:rPr>
          <w:sz w:val="24"/>
          <w:szCs w:val="24"/>
        </w:rPr>
        <w:t xml:space="preserve">de fin de compression </w:t>
      </w:r>
      <w:r w:rsidR="00EF2D2E">
        <w:rPr>
          <w:sz w:val="24"/>
          <w:szCs w:val="24"/>
        </w:rPr>
        <w:t>en degrés Kelvin puis en degrés Centigrades.</w:t>
      </w:r>
      <w:r w:rsidRPr="00AB34D1">
        <w:rPr>
          <w:sz w:val="24"/>
          <w:szCs w:val="24"/>
        </w:rPr>
        <w:t xml:space="preserve"> </w:t>
      </w:r>
    </w:p>
    <w:p w:rsidR="00EF2D2E" w:rsidRDefault="00EF2D2E" w:rsidP="00EF2D2E">
      <w:pPr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                                                         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EF2D2E" w:rsidRPr="00EF2D2E" w:rsidTr="00F46910">
        <w:tc>
          <w:tcPr>
            <w:tcW w:w="5517" w:type="dxa"/>
          </w:tcPr>
          <w:p w:rsidR="00EF2D2E" w:rsidRPr="00EF2D2E" w:rsidRDefault="00DC3CD9" w:rsidP="00F46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F2D2E" w:rsidRPr="00EF2D2E">
              <w:rPr>
                <w:sz w:val="24"/>
                <w:szCs w:val="24"/>
              </w:rPr>
              <w:t>oteur essence</w:t>
            </w:r>
          </w:p>
        </w:tc>
        <w:tc>
          <w:tcPr>
            <w:tcW w:w="5540" w:type="dxa"/>
          </w:tcPr>
          <w:p w:rsidR="00EF2D2E" w:rsidRPr="00EF2D2E" w:rsidRDefault="00DC3CD9" w:rsidP="00F46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F2D2E" w:rsidRPr="00EF2D2E">
              <w:rPr>
                <w:sz w:val="24"/>
                <w:szCs w:val="24"/>
              </w:rPr>
              <w:t>oteur diesel</w:t>
            </w:r>
          </w:p>
        </w:tc>
      </w:tr>
      <w:tr w:rsidR="00EF2D2E" w:rsidRPr="00EF2D2E" w:rsidTr="00F46910">
        <w:tc>
          <w:tcPr>
            <w:tcW w:w="5517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2.0 TDI</w:t>
            </w:r>
          </w:p>
        </w:tc>
      </w:tr>
      <w:tr w:rsidR="00EF2D2E" w:rsidRPr="00EF2D2E" w:rsidTr="00F46910">
        <w:tc>
          <w:tcPr>
            <w:tcW w:w="5517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16,5 : 1</w:t>
            </w:r>
          </w:p>
        </w:tc>
      </w:tr>
      <w:tr w:rsidR="00EF2D2E" w:rsidRPr="00EF2D2E" w:rsidTr="00DC3CD9">
        <w:trPr>
          <w:trHeight w:val="749"/>
        </w:trPr>
        <w:tc>
          <w:tcPr>
            <w:tcW w:w="5517" w:type="dxa"/>
            <w:shd w:val="clear" w:color="auto" w:fill="auto"/>
          </w:tcPr>
          <w:p w:rsidR="00F36214" w:rsidRDefault="00EF2D2E" w:rsidP="00F36214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gamma = </w:t>
            </w:r>
            <w:r w:rsidR="00DC3CD9">
              <w:rPr>
                <w:sz w:val="24"/>
                <w:szCs w:val="24"/>
              </w:rPr>
              <w:t>valeur calculée à la question 4</w:t>
            </w:r>
            <w:r w:rsidR="00F36214">
              <w:rPr>
                <w:sz w:val="24"/>
                <w:szCs w:val="24"/>
              </w:rPr>
              <w:t xml:space="preserve"> </w:t>
            </w:r>
          </w:p>
          <w:p w:rsidR="00EF2D2E" w:rsidRPr="00EF2D2E" w:rsidRDefault="00EF2D2E" w:rsidP="00F36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F36214" w:rsidRDefault="00EF2D2E" w:rsidP="00F36214">
            <w:pPr>
              <w:jc w:val="center"/>
              <w:rPr>
                <w:color w:val="FF0000"/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gamma =</w:t>
            </w:r>
            <w:r w:rsidR="00DC3CD9">
              <w:rPr>
                <w:sz w:val="24"/>
                <w:szCs w:val="24"/>
              </w:rPr>
              <w:t xml:space="preserve"> valeur calculée à la question 4</w:t>
            </w:r>
            <w:r w:rsidR="00F36214" w:rsidRPr="000C3106">
              <w:rPr>
                <w:color w:val="FF0000"/>
                <w:sz w:val="24"/>
                <w:szCs w:val="24"/>
              </w:rPr>
              <w:t xml:space="preserve"> </w:t>
            </w:r>
          </w:p>
          <w:p w:rsidR="00EF2D2E" w:rsidRPr="00EF2D2E" w:rsidRDefault="00EF2D2E" w:rsidP="00F36214">
            <w:pPr>
              <w:jc w:val="center"/>
              <w:rPr>
                <w:sz w:val="24"/>
                <w:szCs w:val="24"/>
              </w:rPr>
            </w:pPr>
          </w:p>
        </w:tc>
      </w:tr>
      <w:tr w:rsidR="00DC3CD9" w:rsidRPr="00EF2D2E" w:rsidTr="00DC3CD9">
        <w:trPr>
          <w:trHeight w:val="749"/>
        </w:trPr>
        <w:tc>
          <w:tcPr>
            <w:tcW w:w="5517" w:type="dxa"/>
            <w:shd w:val="clear" w:color="auto" w:fill="auto"/>
          </w:tcPr>
          <w:p w:rsidR="00DC3CD9" w:rsidRPr="00EF2D2E" w:rsidRDefault="00DC3CD9" w:rsidP="00DC3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T1= température de </w:t>
            </w:r>
            <w:r w:rsidR="002C4E32">
              <w:rPr>
                <w:sz w:val="24"/>
                <w:szCs w:val="24"/>
              </w:rPr>
              <w:t>l’air</w:t>
            </w:r>
            <w:r>
              <w:rPr>
                <w:sz w:val="24"/>
                <w:szCs w:val="24"/>
              </w:rPr>
              <w:t xml:space="preserve"> admis = 20°c</w:t>
            </w:r>
            <w:r w:rsidR="00F36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</w:tcPr>
          <w:p w:rsidR="00DC3CD9" w:rsidRPr="00EF2D2E" w:rsidRDefault="00DC3CD9" w:rsidP="00F4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T1= température de </w:t>
            </w:r>
            <w:r w:rsidR="002C4E32">
              <w:rPr>
                <w:sz w:val="24"/>
                <w:szCs w:val="24"/>
              </w:rPr>
              <w:t>l’air</w:t>
            </w:r>
            <w:r>
              <w:rPr>
                <w:sz w:val="24"/>
                <w:szCs w:val="24"/>
              </w:rPr>
              <w:t xml:space="preserve"> admis = 20°c</w:t>
            </w:r>
          </w:p>
        </w:tc>
      </w:tr>
      <w:tr w:rsidR="00EF2D2E" w:rsidRPr="00EF2D2E" w:rsidTr="00F46910">
        <w:trPr>
          <w:trHeight w:val="749"/>
        </w:trPr>
        <w:tc>
          <w:tcPr>
            <w:tcW w:w="5517" w:type="dxa"/>
          </w:tcPr>
          <w:p w:rsidR="00EF2D2E" w:rsidRDefault="00EF2D2E" w:rsidP="00F4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 de fin de compression °K / °C</w:t>
            </w:r>
            <w:r w:rsidR="00F36214">
              <w:rPr>
                <w:sz w:val="24"/>
                <w:szCs w:val="24"/>
              </w:rPr>
              <w:t xml:space="preserve"> </w:t>
            </w:r>
          </w:p>
          <w:p w:rsidR="00F36214" w:rsidRDefault="00F36214" w:rsidP="00F46910">
            <w:pPr>
              <w:rPr>
                <w:sz w:val="24"/>
                <w:szCs w:val="24"/>
              </w:rPr>
            </w:pPr>
          </w:p>
          <w:p w:rsidR="00B83BAA" w:rsidRPr="00EF2D2E" w:rsidRDefault="00B83BAA" w:rsidP="003C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B83BAA" w:rsidRDefault="00B83BAA" w:rsidP="00B8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</w:t>
            </w:r>
            <w:r w:rsidR="00F36214">
              <w:rPr>
                <w:sz w:val="24"/>
                <w:szCs w:val="24"/>
              </w:rPr>
              <w:t xml:space="preserve"> de fin de compression °K / °C </w:t>
            </w:r>
          </w:p>
          <w:p w:rsidR="00F36214" w:rsidRDefault="00F36214" w:rsidP="00B83BAA">
            <w:pPr>
              <w:rPr>
                <w:sz w:val="24"/>
                <w:szCs w:val="24"/>
              </w:rPr>
            </w:pPr>
          </w:p>
          <w:p w:rsidR="00EF2D2E" w:rsidRDefault="00EF2D2E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Default="003C749A" w:rsidP="003C749A">
            <w:pPr>
              <w:jc w:val="center"/>
              <w:rPr>
                <w:sz w:val="24"/>
                <w:szCs w:val="24"/>
              </w:rPr>
            </w:pPr>
          </w:p>
          <w:p w:rsidR="003C749A" w:rsidRPr="00E366EC" w:rsidRDefault="003C749A" w:rsidP="003C74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C0C" w:rsidRDefault="00DB7798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Recherche des températures d’auto inflammation</w:t>
      </w:r>
    </w:p>
    <w:p w:rsidR="00E366EC" w:rsidRPr="000A091E" w:rsidRDefault="00E366EC" w:rsidP="00E366EC">
      <w:pPr>
        <w:pStyle w:val="Paragraphedeliste"/>
        <w:rPr>
          <w:sz w:val="24"/>
          <w:szCs w:val="24"/>
        </w:rPr>
      </w:pPr>
      <w:r w:rsidRPr="000A091E">
        <w:rPr>
          <w:sz w:val="24"/>
          <w:szCs w:val="24"/>
        </w:rPr>
        <w:t>Recherchez les températures d’</w:t>
      </w:r>
      <w:r w:rsidR="00DB7798" w:rsidRPr="000A091E">
        <w:rPr>
          <w:sz w:val="24"/>
          <w:szCs w:val="24"/>
        </w:rPr>
        <w:t>auto inflammation</w:t>
      </w:r>
      <w:r w:rsidRPr="000A091E">
        <w:rPr>
          <w:sz w:val="24"/>
          <w:szCs w:val="24"/>
        </w:rPr>
        <w:t xml:space="preserve"> </w:t>
      </w:r>
      <w:r w:rsidR="00DB7798" w:rsidRPr="000A091E">
        <w:rPr>
          <w:sz w:val="24"/>
          <w:szCs w:val="24"/>
        </w:rPr>
        <w:t>correspondantes à ces produits inflammables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4932"/>
      </w:tblGrid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combustible</w:t>
            </w:r>
          </w:p>
        </w:tc>
        <w:tc>
          <w:tcPr>
            <w:tcW w:w="2410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T° auto inflammation</w:t>
            </w:r>
          </w:p>
        </w:tc>
        <w:tc>
          <w:tcPr>
            <w:tcW w:w="4932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remarques</w:t>
            </w: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gazole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DB7798" w:rsidRDefault="00DB7798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Pr="00DB7798" w:rsidRDefault="003C749A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huile végétale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DB7798" w:rsidRDefault="00DB7798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Default="003C749A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  <w:p w:rsidR="003C749A" w:rsidRPr="00DB7798" w:rsidRDefault="003C749A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DB7798" w:rsidRDefault="00DB7798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  <w:p w:rsidR="003C749A" w:rsidRDefault="003C749A" w:rsidP="00DB7798">
            <w:pPr>
              <w:jc w:val="both"/>
              <w:rPr>
                <w:sz w:val="24"/>
                <w:szCs w:val="24"/>
              </w:rPr>
            </w:pP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de charbon</w:t>
            </w:r>
          </w:p>
        </w:tc>
        <w:tc>
          <w:tcPr>
            <w:tcW w:w="2410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3C749A" w:rsidRDefault="003C749A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3C749A" w:rsidRPr="00DB7798" w:rsidRDefault="003C749A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DB7798" w:rsidRDefault="00DB7798" w:rsidP="00E366EC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:rsidR="00E366EC" w:rsidRDefault="00E366EC" w:rsidP="00E366EC">
      <w:pPr>
        <w:pStyle w:val="Paragraphedeliste"/>
        <w:rPr>
          <w:color w:val="FF0000"/>
          <w:sz w:val="24"/>
          <w:szCs w:val="24"/>
        </w:rPr>
      </w:pPr>
    </w:p>
    <w:p w:rsidR="00E366EC" w:rsidRPr="00AE54CD" w:rsidRDefault="00673CBF" w:rsidP="00AE54CD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AE54CD">
        <w:rPr>
          <w:sz w:val="28"/>
          <w:szCs w:val="28"/>
          <w:u w:val="single"/>
        </w:rPr>
        <w:t>Question</w:t>
      </w:r>
      <w:r w:rsidR="00AE54CD">
        <w:rPr>
          <w:sz w:val="28"/>
          <w:szCs w:val="28"/>
          <w:u w:val="single"/>
        </w:rPr>
        <w:t>s</w:t>
      </w:r>
      <w:r w:rsidRPr="00AE54CD">
        <w:rPr>
          <w:sz w:val="28"/>
          <w:szCs w:val="28"/>
          <w:u w:val="single"/>
        </w:rPr>
        <w:t xml:space="preserve"> subsidiaire</w:t>
      </w:r>
      <w:r w:rsidR="00AE54CD">
        <w:rPr>
          <w:sz w:val="28"/>
          <w:szCs w:val="28"/>
          <w:u w:val="single"/>
        </w:rPr>
        <w:t>s</w:t>
      </w:r>
      <w:r w:rsidRPr="00AE54CD">
        <w:rPr>
          <w:sz w:val="28"/>
          <w:szCs w:val="28"/>
          <w:u w:val="single"/>
        </w:rPr>
        <w:t> :</w:t>
      </w:r>
    </w:p>
    <w:p w:rsidR="00673CBF" w:rsidRPr="000A091E" w:rsidRDefault="00673CBF" w:rsidP="00AE54C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A091E">
        <w:rPr>
          <w:sz w:val="24"/>
          <w:szCs w:val="24"/>
        </w:rPr>
        <w:t>Sans bougie de préchauffage, si on insiste au démarreur, le moteur diesel finit quand même par démarrer, pourquoi ?</w:t>
      </w:r>
    </w:p>
    <w:p w:rsidR="00673CBF" w:rsidRPr="000A091E" w:rsidRDefault="00673CBF" w:rsidP="00E366EC">
      <w:pPr>
        <w:pStyle w:val="Paragraphedeliste"/>
        <w:rPr>
          <w:color w:val="FF0000"/>
          <w:sz w:val="24"/>
          <w:szCs w:val="24"/>
        </w:rPr>
      </w:pPr>
    </w:p>
    <w:p w:rsidR="003C749A" w:rsidRPr="000A091E" w:rsidRDefault="003C749A" w:rsidP="00E366EC">
      <w:pPr>
        <w:pStyle w:val="Paragraphedeliste"/>
        <w:rPr>
          <w:color w:val="FF0000"/>
          <w:sz w:val="24"/>
          <w:szCs w:val="24"/>
        </w:rPr>
      </w:pPr>
    </w:p>
    <w:p w:rsidR="003C749A" w:rsidRPr="000A091E" w:rsidRDefault="003C749A" w:rsidP="00E366EC">
      <w:pPr>
        <w:pStyle w:val="Paragraphedeliste"/>
        <w:rPr>
          <w:color w:val="FF0000"/>
          <w:sz w:val="24"/>
          <w:szCs w:val="24"/>
        </w:rPr>
      </w:pPr>
    </w:p>
    <w:p w:rsidR="003C749A" w:rsidRPr="000A091E" w:rsidRDefault="003C749A" w:rsidP="00E366EC">
      <w:pPr>
        <w:pStyle w:val="Paragraphedeliste"/>
        <w:rPr>
          <w:color w:val="FF0000"/>
          <w:sz w:val="24"/>
          <w:szCs w:val="24"/>
        </w:rPr>
      </w:pPr>
    </w:p>
    <w:p w:rsidR="00673CBF" w:rsidRPr="000A091E" w:rsidRDefault="009D7BBB" w:rsidP="00AE54C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A091E">
        <w:rPr>
          <w:sz w:val="24"/>
          <w:szCs w:val="24"/>
        </w:rPr>
        <w:t>Quel devrait</w:t>
      </w:r>
      <w:r w:rsidR="00673CBF" w:rsidRPr="000A091E">
        <w:rPr>
          <w:sz w:val="24"/>
          <w:szCs w:val="24"/>
        </w:rPr>
        <w:t xml:space="preserve"> être le coefficient gamma pour que la température de fin de compression du moteur AUDI 2.0 TDI soit de 257°c  (et que le moteur démarre sans préchauffage) ?</w:t>
      </w:r>
      <w:bookmarkStart w:id="0" w:name="_GoBack"/>
      <w:bookmarkEnd w:id="0"/>
    </w:p>
    <w:sectPr w:rsidR="00673CBF" w:rsidRPr="000A091E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5C34"/>
    <w:multiLevelType w:val="hybridMultilevel"/>
    <w:tmpl w:val="94EED7F4"/>
    <w:lvl w:ilvl="0" w:tplc="099AB0F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A091E"/>
    <w:rsid w:val="000C3106"/>
    <w:rsid w:val="0017696D"/>
    <w:rsid w:val="0018380E"/>
    <w:rsid w:val="001C6008"/>
    <w:rsid w:val="001F0A3C"/>
    <w:rsid w:val="001F2CB7"/>
    <w:rsid w:val="001F582F"/>
    <w:rsid w:val="0027770A"/>
    <w:rsid w:val="002C4E32"/>
    <w:rsid w:val="002F6A8F"/>
    <w:rsid w:val="003236DA"/>
    <w:rsid w:val="00367082"/>
    <w:rsid w:val="003C749A"/>
    <w:rsid w:val="00423CF6"/>
    <w:rsid w:val="004A7CBB"/>
    <w:rsid w:val="00532A4F"/>
    <w:rsid w:val="005B0504"/>
    <w:rsid w:val="005B7C0C"/>
    <w:rsid w:val="005D18EF"/>
    <w:rsid w:val="00631A92"/>
    <w:rsid w:val="00673CBF"/>
    <w:rsid w:val="0067505E"/>
    <w:rsid w:val="006928CD"/>
    <w:rsid w:val="006A458A"/>
    <w:rsid w:val="007929CE"/>
    <w:rsid w:val="007C6753"/>
    <w:rsid w:val="007E468D"/>
    <w:rsid w:val="009D7BBB"/>
    <w:rsid w:val="009E6C1A"/>
    <w:rsid w:val="00AB34D1"/>
    <w:rsid w:val="00AE54CD"/>
    <w:rsid w:val="00B316E1"/>
    <w:rsid w:val="00B43D12"/>
    <w:rsid w:val="00B511CF"/>
    <w:rsid w:val="00B83BAA"/>
    <w:rsid w:val="00C055C3"/>
    <w:rsid w:val="00C55105"/>
    <w:rsid w:val="00C61BE4"/>
    <w:rsid w:val="00C72808"/>
    <w:rsid w:val="00C955EB"/>
    <w:rsid w:val="00D9589C"/>
    <w:rsid w:val="00DB7798"/>
    <w:rsid w:val="00DC3CD9"/>
    <w:rsid w:val="00E366EC"/>
    <w:rsid w:val="00E93102"/>
    <w:rsid w:val="00EF2D2E"/>
    <w:rsid w:val="00F0178B"/>
    <w:rsid w:val="00F36214"/>
    <w:rsid w:val="00FE3B1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F0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10</cp:revision>
  <cp:lastPrinted>2016-09-14T19:53:00Z</cp:lastPrinted>
  <dcterms:created xsi:type="dcterms:W3CDTF">2017-01-12T20:59:00Z</dcterms:created>
  <dcterms:modified xsi:type="dcterms:W3CDTF">2017-11-21T20:13:00Z</dcterms:modified>
</cp:coreProperties>
</file>