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  <w:i/>
          <w:color w:val="244061" w:themeColor="accent1" w:themeShade="80"/>
          <w:sz w:val="48"/>
          <w:szCs w:val="48"/>
        </w:rPr>
        <w:alias w:val="Objet "/>
        <w:id w:val="81937111"/>
        <w:placeholder>
          <w:docPart w:val="131B27FFD4EB43ACB6490AA8B1D8FE4E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:rsidR="00ED2571" w:rsidRPr="002E52A6" w:rsidRDefault="00E334E5" w:rsidP="00842EDC">
          <w:pPr>
            <w:jc w:val="center"/>
          </w:pPr>
          <w:r>
            <w:rPr>
              <w:b/>
              <w:i/>
              <w:color w:val="244061" w:themeColor="accent1" w:themeShade="80"/>
              <w:sz w:val="48"/>
              <w:szCs w:val="48"/>
            </w:rPr>
            <w:t>Implantation des boulons</w:t>
          </w:r>
        </w:p>
      </w:sdtContent>
    </w:sdt>
    <w:p w:rsidR="00B55A7D" w:rsidRPr="00DC5BC6" w:rsidRDefault="00DC5BC6" w:rsidP="00DC5BC6">
      <w:pPr>
        <w:jc w:val="center"/>
        <w:rPr>
          <w:rStyle w:val="lev"/>
        </w:rPr>
      </w:pPr>
      <w:r w:rsidRPr="00DC5BC6">
        <w:rPr>
          <w:rStyle w:val="lev"/>
        </w:rPr>
        <w:t>Le cas des encastrements par platine d’about</w:t>
      </w:r>
    </w:p>
    <w:p w:rsidR="0069628D" w:rsidRDefault="0069628D" w:rsidP="002E52A6">
      <w:pPr>
        <w:pStyle w:val="Titre1"/>
      </w:pPr>
      <w:r>
        <w:t>Pré</w:t>
      </w:r>
      <w:r w:rsidR="00BC0259">
        <w:t xml:space="preserve"> </w:t>
      </w:r>
      <w:r>
        <w:t>requis</w:t>
      </w:r>
    </w:p>
    <w:p w:rsidR="00332DB0" w:rsidRDefault="00B03C39" w:rsidP="00332DB0">
      <w:pPr>
        <w:pStyle w:val="Paragraphedeliste"/>
        <w:numPr>
          <w:ilvl w:val="0"/>
          <w:numId w:val="12"/>
        </w:numPr>
      </w:pPr>
      <w:r>
        <w:t xml:space="preserve">Savoir </w:t>
      </w:r>
      <w:r w:rsidR="00332DB0">
        <w:t>manipul</w:t>
      </w:r>
      <w:r>
        <w:t>er</w:t>
      </w:r>
      <w:r w:rsidR="00332DB0">
        <w:t xml:space="preserve"> des fonctions simples du logiciel </w:t>
      </w:r>
      <w:r>
        <w:t>en</w:t>
      </w:r>
      <w:r w:rsidR="00332DB0">
        <w:t xml:space="preserve"> création et modification d’un assemblage,</w:t>
      </w:r>
    </w:p>
    <w:p w:rsidR="00B03C39" w:rsidRDefault="00B03C39" w:rsidP="00332DB0">
      <w:pPr>
        <w:pStyle w:val="Paragraphedeliste"/>
        <w:numPr>
          <w:ilvl w:val="0"/>
          <w:numId w:val="12"/>
        </w:numPr>
      </w:pPr>
      <w:r>
        <w:t xml:space="preserve">Avoir traité </w:t>
      </w:r>
      <w:r w:rsidR="00327C3E">
        <w:t>le début de l’exemple</w:t>
      </w:r>
      <w:r w:rsidRPr="00B03C39">
        <w:t xml:space="preserve"> </w:t>
      </w:r>
      <w:r>
        <w:t>« </w:t>
      </w:r>
      <w:r w:rsidRPr="00B03C39">
        <w:t xml:space="preserve"> assemblage d’une poutre sur un poteau</w:t>
      </w:r>
      <w:r>
        <w:t> » du manuel « Comment débuter</w:t>
      </w:r>
      <w:r w:rsidR="005F08CF">
        <w:t xml:space="preserve"> </w:t>
      </w:r>
      <w:r>
        <w:t>» de PowerConnect</w:t>
      </w:r>
      <w:r w:rsidR="005F08CF">
        <w:t xml:space="preserve"> (</w:t>
      </w:r>
      <w:r w:rsidR="005F08CF" w:rsidRPr="00F2492C">
        <w:t>Manuel PowerConnect partie 1</w:t>
      </w:r>
      <w:r w:rsidR="005F08CF">
        <w:t>.pdf)</w:t>
      </w:r>
      <w:r>
        <w:t>.</w:t>
      </w:r>
    </w:p>
    <w:p w:rsidR="00C642A6" w:rsidRDefault="00332DB0" w:rsidP="002E52A6">
      <w:pPr>
        <w:pStyle w:val="Titre1"/>
      </w:pPr>
      <w:r>
        <w:t>Ressources</w:t>
      </w:r>
    </w:p>
    <w:p w:rsidR="00C642A6" w:rsidRDefault="00C642A6" w:rsidP="008D5071">
      <w:pPr>
        <w:pStyle w:val="Paragraphedeliste"/>
        <w:numPr>
          <w:ilvl w:val="0"/>
          <w:numId w:val="11"/>
        </w:numPr>
        <w:rPr>
          <w:noProof/>
          <w:lang w:eastAsia="fr-FR" w:bidi="ar-SA"/>
        </w:rPr>
      </w:pPr>
      <w:r>
        <w:t>La fiche</w:t>
      </w:r>
      <w:r w:rsidR="006E3654">
        <w:t xml:space="preserve"> de procédure</w:t>
      </w:r>
      <w:r>
        <w:t xml:space="preserve"> </w:t>
      </w:r>
      <w:r>
        <w:rPr>
          <w:noProof/>
          <w:lang w:eastAsia="fr-FR" w:bidi="ar-SA"/>
        </w:rPr>
        <w:t>« Paramètres généraux de PowerConnect »</w:t>
      </w:r>
      <w:r w:rsidR="00654A76">
        <w:rPr>
          <w:noProof/>
          <w:lang w:eastAsia="fr-FR" w:bidi="ar-SA"/>
        </w:rPr>
        <w:t>,</w:t>
      </w:r>
    </w:p>
    <w:p w:rsidR="00654A76" w:rsidRDefault="00654A76" w:rsidP="008D5071">
      <w:pPr>
        <w:pStyle w:val="Paragraphedeliste"/>
        <w:numPr>
          <w:ilvl w:val="0"/>
          <w:numId w:val="11"/>
        </w:numPr>
        <w:rPr>
          <w:noProof/>
          <w:lang w:eastAsia="fr-FR" w:bidi="ar-SA"/>
        </w:rPr>
      </w:pPr>
      <w:r>
        <w:rPr>
          <w:noProof/>
          <w:lang w:eastAsia="fr-FR" w:bidi="ar-SA"/>
        </w:rPr>
        <w:t>L</w:t>
      </w:r>
      <w:r w:rsidR="006E3654">
        <w:rPr>
          <w:noProof/>
          <w:lang w:eastAsia="fr-FR" w:bidi="ar-SA"/>
        </w:rPr>
        <w:t xml:space="preserve">e </w:t>
      </w:r>
      <w:r>
        <w:rPr>
          <w:noProof/>
          <w:lang w:eastAsia="fr-FR" w:bidi="ar-SA"/>
        </w:rPr>
        <w:t xml:space="preserve"> manuel « </w:t>
      </w:r>
      <w:r w:rsidR="004B5F84">
        <w:t>C</w:t>
      </w:r>
      <w:r w:rsidR="00B03C39">
        <w:t>omment débuter </w:t>
      </w:r>
      <w:r>
        <w:rPr>
          <w:noProof/>
          <w:lang w:eastAsia="fr-FR" w:bidi="ar-SA"/>
        </w:rPr>
        <w:t>»,</w:t>
      </w:r>
    </w:p>
    <w:p w:rsidR="006E3654" w:rsidRDefault="00C642A6" w:rsidP="00C642A6">
      <w:pPr>
        <w:pStyle w:val="Paragraphedeliste"/>
        <w:numPr>
          <w:ilvl w:val="0"/>
          <w:numId w:val="11"/>
        </w:numPr>
      </w:pPr>
      <w:r>
        <w:rPr>
          <w:noProof/>
          <w:lang w:eastAsia="fr-FR" w:bidi="ar-SA"/>
        </w:rPr>
        <w:t xml:space="preserve">Le manuel </w:t>
      </w:r>
      <w:r w:rsidR="00B03C39">
        <w:rPr>
          <w:noProof/>
          <w:lang w:eastAsia="fr-FR" w:bidi="ar-SA"/>
        </w:rPr>
        <w:t>de référence</w:t>
      </w:r>
      <w:r w:rsidR="004B5F84">
        <w:rPr>
          <w:noProof/>
          <w:lang w:eastAsia="fr-FR" w:bidi="ar-SA"/>
        </w:rPr>
        <w:t xml:space="preserve"> du logiciel</w:t>
      </w:r>
      <w:r w:rsidR="006E3654">
        <w:rPr>
          <w:noProof/>
          <w:lang w:eastAsia="fr-FR" w:bidi="ar-SA"/>
        </w:rPr>
        <w:t>,</w:t>
      </w:r>
    </w:p>
    <w:p w:rsidR="008D5071" w:rsidRPr="00C642A6" w:rsidRDefault="008D5071" w:rsidP="00C642A6">
      <w:pPr>
        <w:pStyle w:val="Paragraphedeliste"/>
        <w:numPr>
          <w:ilvl w:val="0"/>
          <w:numId w:val="11"/>
        </w:numPr>
      </w:pPr>
      <w:r>
        <w:t>L’aide en ligne</w:t>
      </w:r>
      <w:r w:rsidR="006E3654">
        <w:t xml:space="preserve"> du logiciel</w:t>
      </w:r>
      <w:r>
        <w:t>.</w:t>
      </w:r>
    </w:p>
    <w:p w:rsidR="00484691" w:rsidRDefault="00555EA2" w:rsidP="002E52A6">
      <w:pPr>
        <w:pStyle w:val="Titre1"/>
      </w:pPr>
      <w:r>
        <w:t>But</w:t>
      </w:r>
      <w:r w:rsidR="00C11302">
        <w:t xml:space="preserve"> et démarche</w:t>
      </w: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819"/>
      </w:tblGrid>
      <w:tr w:rsidR="00484691" w:rsidTr="003D6E18">
        <w:tc>
          <w:tcPr>
            <w:tcW w:w="5070" w:type="dxa"/>
          </w:tcPr>
          <w:p w:rsidR="00AB5DC9" w:rsidRDefault="00675733" w:rsidP="00675733">
            <w:pPr>
              <w:pStyle w:val="Listenumros"/>
              <w:numPr>
                <w:ilvl w:val="0"/>
                <w:numId w:val="0"/>
              </w:numPr>
              <w:rPr>
                <w:rStyle w:val="Emphaseple"/>
                <w:i w:val="0"/>
                <w:iCs w:val="0"/>
                <w:color w:val="auto"/>
              </w:rPr>
            </w:pPr>
            <w:r w:rsidRPr="00AB5DC9">
              <w:rPr>
                <w:rStyle w:val="Emphaseple"/>
                <w:b/>
                <w:i w:val="0"/>
                <w:iCs w:val="0"/>
                <w:color w:val="auto"/>
              </w:rPr>
              <w:t>Situation de départ</w:t>
            </w:r>
          </w:p>
          <w:p w:rsidR="00484691" w:rsidRDefault="00DD43F6" w:rsidP="00675733">
            <w:pPr>
              <w:pStyle w:val="Listenumros"/>
              <w:numPr>
                <w:ilvl w:val="0"/>
                <w:numId w:val="0"/>
              </w:numPr>
              <w:rPr>
                <w:rStyle w:val="Emphaseple"/>
                <w:i w:val="0"/>
                <w:iCs w:val="0"/>
                <w:color w:val="auto"/>
              </w:rPr>
            </w:pPr>
            <w:r>
              <w:rPr>
                <w:rStyle w:val="Emphaseple"/>
                <w:i w:val="0"/>
                <w:iCs w:val="0"/>
                <w:color w:val="auto"/>
              </w:rPr>
              <w:t>Elle est o</w:t>
            </w:r>
            <w:r w:rsidR="00675733">
              <w:rPr>
                <w:rStyle w:val="Emphaseple"/>
                <w:i w:val="0"/>
                <w:iCs w:val="0"/>
                <w:color w:val="auto"/>
              </w:rPr>
              <w:t>btenue pour un encastrement poutre</w:t>
            </w:r>
            <w:r w:rsidR="003D6E18">
              <w:rPr>
                <w:rStyle w:val="Emphaseple"/>
                <w:i w:val="0"/>
                <w:iCs w:val="0"/>
                <w:color w:val="auto"/>
              </w:rPr>
              <w:t xml:space="preserve"> IPE 270 sur </w:t>
            </w:r>
            <w:r w:rsidR="00675733">
              <w:rPr>
                <w:rStyle w:val="Emphaseple"/>
                <w:i w:val="0"/>
                <w:iCs w:val="0"/>
                <w:color w:val="auto"/>
              </w:rPr>
              <w:t xml:space="preserve">poteau </w:t>
            </w:r>
            <w:r w:rsidR="003D6E18">
              <w:rPr>
                <w:rStyle w:val="Emphaseple"/>
                <w:i w:val="0"/>
                <w:iCs w:val="0"/>
                <w:color w:val="auto"/>
              </w:rPr>
              <w:t xml:space="preserve">IPE 360 </w:t>
            </w:r>
            <w:r w:rsidR="00675733">
              <w:rPr>
                <w:rStyle w:val="Emphaseple"/>
                <w:i w:val="0"/>
                <w:iCs w:val="0"/>
                <w:color w:val="auto"/>
              </w:rPr>
              <w:t xml:space="preserve">en choisissant </w:t>
            </w:r>
            <w:r w:rsidR="007A2A9A">
              <w:rPr>
                <w:rStyle w:val="Emphaseple"/>
                <w:i w:val="0"/>
                <w:iCs w:val="0"/>
                <w:color w:val="auto"/>
              </w:rPr>
              <w:t xml:space="preserve">à chaque étape </w:t>
            </w:r>
            <w:r w:rsidR="00675733">
              <w:rPr>
                <w:rStyle w:val="Emphaseple"/>
                <w:i w:val="0"/>
                <w:iCs w:val="0"/>
                <w:color w:val="auto"/>
              </w:rPr>
              <w:t>les valeurs par défaut.</w:t>
            </w:r>
          </w:p>
          <w:p w:rsidR="00675733" w:rsidRPr="00BD2DCD" w:rsidRDefault="00675733" w:rsidP="00AB451E">
            <w:pPr>
              <w:pStyle w:val="Listenumros"/>
              <w:numPr>
                <w:ilvl w:val="0"/>
                <w:numId w:val="0"/>
              </w:numPr>
              <w:rPr>
                <w:rStyle w:val="Emphaseple"/>
                <w:i w:val="0"/>
                <w:iCs w:val="0"/>
                <w:color w:val="auto"/>
              </w:rPr>
            </w:pPr>
          </w:p>
        </w:tc>
        <w:tc>
          <w:tcPr>
            <w:tcW w:w="4819" w:type="dxa"/>
            <w:vAlign w:val="center"/>
          </w:tcPr>
          <w:p w:rsidR="00484691" w:rsidRPr="00AB5DC9" w:rsidRDefault="00675733" w:rsidP="00DC39B7">
            <w:pPr>
              <w:rPr>
                <w:b/>
              </w:rPr>
            </w:pPr>
            <w:r w:rsidRPr="00AB5DC9">
              <w:rPr>
                <w:b/>
              </w:rPr>
              <w:t>Situation finale recherchée</w:t>
            </w:r>
          </w:p>
          <w:p w:rsidR="00675733" w:rsidRDefault="00675733" w:rsidP="004B63BA">
            <w:r>
              <w:t>Même poteau et même poutre</w:t>
            </w:r>
            <w:r w:rsidR="00334ABB">
              <w:t xml:space="preserve">, </w:t>
            </w:r>
            <w:r w:rsidR="00334ABB">
              <w:rPr>
                <w:rStyle w:val="Emphaseple"/>
                <w:i w:val="0"/>
                <w:iCs w:val="0"/>
                <w:color w:val="auto"/>
              </w:rPr>
              <w:t>pente 10%</w:t>
            </w:r>
            <w:r>
              <w:t xml:space="preserve"> ; </w:t>
            </w:r>
            <w:r w:rsidR="004B63BA">
              <w:t xml:space="preserve">5 rangées de </w:t>
            </w:r>
            <w:r>
              <w:t>boulons HM22 positionnés au plus près de la matière</w:t>
            </w:r>
            <w:r w:rsidR="004B63BA">
              <w:t xml:space="preserve"> afin d’augmenter la résistance et la rigidité des composant</w:t>
            </w:r>
            <w:r w:rsidR="007A6406">
              <w:t>e</w:t>
            </w:r>
            <w:r w:rsidR="004B63BA">
              <w:t>s.</w:t>
            </w:r>
            <w:r w:rsidR="00334ABB">
              <w:t xml:space="preserve"> </w:t>
            </w:r>
          </w:p>
        </w:tc>
      </w:tr>
      <w:tr w:rsidR="00675733" w:rsidTr="003D6E18">
        <w:tc>
          <w:tcPr>
            <w:tcW w:w="5070" w:type="dxa"/>
            <w:shd w:val="clear" w:color="auto" w:fill="FFFFFF" w:themeFill="background1"/>
          </w:tcPr>
          <w:p w:rsidR="007A2A9A" w:rsidRDefault="007A2A9A" w:rsidP="007A2A9A">
            <w:pPr>
              <w:rPr>
                <w:noProof/>
                <w:lang w:eastAsia="fr-FR" w:bidi="ar-SA"/>
              </w:rPr>
            </w:pPr>
          </w:p>
          <w:p w:rsidR="007A2A9A" w:rsidRDefault="007A2A9A" w:rsidP="007A2A9A">
            <w:pPr>
              <w:rPr>
                <w:noProof/>
                <w:lang w:eastAsia="fr-FR" w:bidi="ar-SA"/>
              </w:rPr>
            </w:pPr>
          </w:p>
          <w:p w:rsidR="00675733" w:rsidRDefault="007A2A9A" w:rsidP="007A2A9A">
            <w:pPr>
              <w:rPr>
                <w:noProof/>
                <w:lang w:eastAsia="fr-FR" w:bidi="ar-SA"/>
              </w:rPr>
            </w:pPr>
            <w:r w:rsidRPr="007A2A9A">
              <w:rPr>
                <w:noProof/>
                <w:lang w:eastAsia="fr-FR" w:bidi="ar-SA"/>
              </w:rPr>
              <w:drawing>
                <wp:inline distT="0" distB="0" distL="0" distR="0">
                  <wp:extent cx="2114550" cy="1497330"/>
                  <wp:effectExtent l="95250" t="76200" r="76200" b="64770"/>
                  <wp:docPr id="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211" cy="1497090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675733" w:rsidRDefault="00DD43F6" w:rsidP="007A2A9A"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2745172" cy="1981200"/>
                  <wp:effectExtent l="19050" t="0" r="0" b="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5769" cy="19816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451E" w:rsidRDefault="00AB451E" w:rsidP="00AB451E">
      <w:pPr>
        <w:pStyle w:val="Titre1"/>
      </w:pPr>
      <w:r>
        <w:t>Jarret</w:t>
      </w:r>
    </w:p>
    <w:p w:rsidR="00AB451E" w:rsidRDefault="00AB451E" w:rsidP="00AB451E">
      <w:r>
        <w:t xml:space="preserve">On ajoute un jarret </w:t>
      </w:r>
      <w:r w:rsidR="00E03C37">
        <w:t xml:space="preserve">suite à </w:t>
      </w:r>
      <w:r>
        <w:t xml:space="preserve"> un clic droit sur la poutre.</w:t>
      </w:r>
      <w:r w:rsidR="00555EA2">
        <w:t xml:space="preserve"> Par défaut le jarret est lui aussi en IPE270.</w:t>
      </w:r>
    </w:p>
    <w:p w:rsidR="00AB451E" w:rsidRDefault="00AB451E" w:rsidP="00AB451E">
      <w:pPr>
        <w:pStyle w:val="Titre1"/>
      </w:pPr>
      <w:r>
        <w:t>Pente 10%</w:t>
      </w:r>
    </w:p>
    <w:p w:rsidR="00AB451E" w:rsidRDefault="00AB451E" w:rsidP="00AB451E">
      <w:r>
        <w:t xml:space="preserve">Comme pour tous les éléments d’un assemblage : un </w:t>
      </w:r>
      <w:proofErr w:type="spellStart"/>
      <w:r>
        <w:t>double-clic</w:t>
      </w:r>
      <w:proofErr w:type="spellEnd"/>
      <w:r>
        <w:t xml:space="preserve"> sur l’élément concerné (ici la poutre) ouvre la fenêtre adéquate.</w:t>
      </w:r>
    </w:p>
    <w:p w:rsidR="00AB451E" w:rsidRDefault="00AB451E" w:rsidP="00AB451E"/>
    <w:p w:rsidR="00AB451E" w:rsidRDefault="00AB451E" w:rsidP="00AB451E">
      <w:r w:rsidRPr="00A06CDE">
        <w:rPr>
          <w:b/>
        </w:rPr>
        <w:t>Rappel :</w:t>
      </w:r>
      <w:r>
        <w:t xml:space="preserve"> une pente de 10 % correspond </w:t>
      </w:r>
      <w:r w:rsidR="008D7CED">
        <w:t xml:space="preserve">à </w:t>
      </w:r>
      <w:r>
        <w:t>un angle de 5,71°</w:t>
      </w:r>
    </w:p>
    <w:p w:rsidR="002750B1" w:rsidRDefault="002750B1">
      <w:pPr>
        <w:ind w:firstLine="360"/>
        <w:rPr>
          <w:rFonts w:ascii="Calibri" w:eastAsiaTheme="majorEastAsia" w:hAnsi="Calibri" w:cstheme="majorBidi"/>
          <w:b/>
          <w:bCs/>
          <w:i/>
          <w:color w:val="984806" w:themeColor="accent6" w:themeShade="80"/>
          <w:sz w:val="28"/>
          <w:szCs w:val="24"/>
        </w:rPr>
      </w:pPr>
    </w:p>
    <w:p w:rsidR="00A06CDE" w:rsidRDefault="00A06CDE">
      <w:pPr>
        <w:ind w:firstLine="360"/>
        <w:rPr>
          <w:rFonts w:ascii="Calibri" w:eastAsiaTheme="majorEastAsia" w:hAnsi="Calibri" w:cstheme="majorBidi"/>
          <w:b/>
          <w:bCs/>
          <w:i/>
          <w:color w:val="984806" w:themeColor="accent6" w:themeShade="80"/>
          <w:sz w:val="28"/>
          <w:szCs w:val="24"/>
        </w:rPr>
      </w:pPr>
      <w:r>
        <w:br w:type="page"/>
      </w:r>
    </w:p>
    <w:p w:rsidR="00DD43F6" w:rsidRDefault="003B640C" w:rsidP="00AB451E">
      <w:pPr>
        <w:pStyle w:val="Titre1"/>
      </w:pPr>
      <w:r>
        <w:lastRenderedPageBreak/>
        <w:t>O</w:t>
      </w:r>
      <w:r w:rsidR="00DD43F6">
        <w:t>util de gestion des boulons</w:t>
      </w:r>
    </w:p>
    <w:p w:rsidR="00DD43F6" w:rsidRDefault="00DD43F6" w:rsidP="00DD43F6">
      <w:r>
        <w:t xml:space="preserve">Comme pour tous les éléments d’un assemblage : un </w:t>
      </w:r>
      <w:proofErr w:type="spellStart"/>
      <w:r>
        <w:t>double-clic</w:t>
      </w:r>
      <w:proofErr w:type="spellEnd"/>
      <w:r>
        <w:t xml:space="preserve"> sur l’élément concerné ouvre la fenêtre </w:t>
      </w:r>
      <w:r w:rsidR="007D2908">
        <w:t xml:space="preserve">de gestion </w:t>
      </w:r>
      <w:r>
        <w:t>adéquate.</w:t>
      </w:r>
    </w:p>
    <w:p w:rsidR="00DD43F6" w:rsidRPr="00DD43F6" w:rsidRDefault="00DD43F6" w:rsidP="00DD43F6"/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819"/>
      </w:tblGrid>
      <w:tr w:rsidR="00AB5DC9" w:rsidTr="00C978EE">
        <w:tc>
          <w:tcPr>
            <w:tcW w:w="5070" w:type="dxa"/>
          </w:tcPr>
          <w:p w:rsidR="00AB5DC9" w:rsidRDefault="00955AD6" w:rsidP="00C978EE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3078480" cy="2263140"/>
                  <wp:effectExtent l="19050" t="0" r="762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480" cy="2263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center"/>
          </w:tcPr>
          <w:p w:rsidR="00AB5DC9" w:rsidRDefault="00955AD6" w:rsidP="00C978EE"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2921000" cy="2696845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0" cy="269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18C8" w:rsidRDefault="008318C8" w:rsidP="00366044">
      <w:pPr>
        <w:rPr>
          <w:rFonts w:eastAsiaTheme="majorEastAsia"/>
        </w:rPr>
      </w:pPr>
    </w:p>
    <w:p w:rsidR="00955AD6" w:rsidRDefault="00955AD6" w:rsidP="00955AD6">
      <w:pPr>
        <w:pStyle w:val="Titre2"/>
      </w:pPr>
      <w:r>
        <w:t>Boulons</w:t>
      </w:r>
      <w:r w:rsidR="007A6406">
        <w:t> : diamètre et qualité</w:t>
      </w: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819"/>
      </w:tblGrid>
      <w:tr w:rsidR="00955AD6" w:rsidTr="000C0770">
        <w:tc>
          <w:tcPr>
            <w:tcW w:w="5070" w:type="dxa"/>
          </w:tcPr>
          <w:p w:rsidR="00286B1A" w:rsidRDefault="00286B1A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Accès par le bouton « Détails boulons » :</w:t>
            </w:r>
          </w:p>
          <w:p w:rsidR="00286B1A" w:rsidRDefault="00286B1A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758328" cy="664420"/>
                  <wp:effectExtent l="19050" t="0" r="3672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510" cy="664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6FD" w:rsidRDefault="008826FD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</w:p>
          <w:p w:rsidR="00286B1A" w:rsidRDefault="00286B1A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Seul</w:t>
            </w:r>
            <w:r w:rsidR="008318C8">
              <w:rPr>
                <w:noProof/>
                <w:lang w:eastAsia="fr-FR" w:bidi="ar-SA"/>
              </w:rPr>
              <w:t>e</w:t>
            </w:r>
            <w:r>
              <w:rPr>
                <w:noProof/>
                <w:lang w:eastAsia="fr-FR" w:bidi="ar-SA"/>
              </w:rPr>
              <w:t>s deux actions</w:t>
            </w:r>
            <w:r w:rsidR="008318C8">
              <w:rPr>
                <w:noProof/>
                <w:lang w:eastAsia="fr-FR" w:bidi="ar-SA"/>
              </w:rPr>
              <w:t xml:space="preserve"> sont à effectuer :</w:t>
            </w:r>
          </w:p>
          <w:p w:rsidR="008318C8" w:rsidRDefault="008318C8" w:rsidP="00AD393A">
            <w:pPr>
              <w:pStyle w:val="Listenumros"/>
              <w:numPr>
                <w:ilvl w:val="0"/>
                <w:numId w:val="4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Liste déroulante « Choisir un boulon »</w:t>
            </w:r>
          </w:p>
          <w:p w:rsidR="008318C8" w:rsidRDefault="008318C8" w:rsidP="00AD393A">
            <w:pPr>
              <w:pStyle w:val="Listenumros"/>
              <w:numPr>
                <w:ilvl w:val="0"/>
                <w:numId w:val="4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Liste déroulante « qualité »</w:t>
            </w:r>
          </w:p>
          <w:p w:rsidR="00286B1A" w:rsidRDefault="00286B1A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</w:p>
          <w:p w:rsidR="00955AD6" w:rsidRDefault="008318C8" w:rsidP="008318C8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 xml:space="preserve">Les autres valeurs sont </w:t>
            </w:r>
            <w:r w:rsidR="00BD14EC">
              <w:rPr>
                <w:noProof/>
                <w:lang w:eastAsia="fr-FR" w:bidi="ar-SA"/>
              </w:rPr>
              <w:t xml:space="preserve">automatiquement </w:t>
            </w:r>
            <w:r>
              <w:rPr>
                <w:noProof/>
                <w:lang w:eastAsia="fr-FR" w:bidi="ar-SA"/>
              </w:rPr>
              <w:t xml:space="preserve">chargées depuis la bibliothèque des boulons ; </w:t>
            </w:r>
            <w:r w:rsidR="00286B1A">
              <w:rPr>
                <w:noProof/>
                <w:lang w:eastAsia="fr-FR" w:bidi="ar-SA"/>
              </w:rPr>
              <w:t xml:space="preserve"> </w:t>
            </w:r>
            <w:r>
              <w:rPr>
                <w:noProof/>
                <w:lang w:eastAsia="fr-FR" w:bidi="ar-SA"/>
              </w:rPr>
              <w:t>voir la fiche « Paramètres généraux de PowerConnect ». Elles sont normalement correctes.</w:t>
            </w:r>
          </w:p>
        </w:tc>
        <w:tc>
          <w:tcPr>
            <w:tcW w:w="4819" w:type="dxa"/>
            <w:vAlign w:val="center"/>
          </w:tcPr>
          <w:p w:rsidR="00955AD6" w:rsidRDefault="00955AD6" w:rsidP="000C0770"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2914015" cy="2275840"/>
                  <wp:effectExtent l="19050" t="0" r="635" b="0"/>
                  <wp:docPr id="1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015" cy="2275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6CDE" w:rsidRDefault="00A06CDE" w:rsidP="00A06CDE"/>
    <w:p w:rsidR="00A06CDE" w:rsidRDefault="00A06CDE" w:rsidP="00A06CDE">
      <w:pPr>
        <w:rPr>
          <w:rFonts w:ascii="Calibri" w:eastAsiaTheme="majorEastAsia" w:hAnsi="Calibri" w:cstheme="majorBidi"/>
          <w:color w:val="984806" w:themeColor="accent6" w:themeShade="80"/>
          <w:sz w:val="24"/>
          <w:szCs w:val="24"/>
        </w:rPr>
      </w:pPr>
      <w:r>
        <w:br w:type="page"/>
      </w:r>
    </w:p>
    <w:p w:rsidR="008318C8" w:rsidRDefault="008318C8" w:rsidP="008318C8">
      <w:pPr>
        <w:pStyle w:val="Titre2"/>
      </w:pPr>
      <w:r>
        <w:lastRenderedPageBreak/>
        <w:t>Nombre de rangées</w:t>
      </w: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819"/>
      </w:tblGrid>
      <w:tr w:rsidR="008318C8" w:rsidTr="000C0770">
        <w:tc>
          <w:tcPr>
            <w:tcW w:w="5070" w:type="dxa"/>
          </w:tcPr>
          <w:p w:rsidR="008318C8" w:rsidRDefault="008318C8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Action par le bouton « Insérer une rangée de boulons » :</w:t>
            </w:r>
          </w:p>
          <w:p w:rsidR="008318C8" w:rsidRDefault="008318C8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695961" cy="662599"/>
                  <wp:effectExtent l="19050" t="0" r="8889" b="0"/>
                  <wp:docPr id="15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487" cy="662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18C8" w:rsidRDefault="008318C8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</w:p>
          <w:p w:rsidR="008318C8" w:rsidRDefault="007E737A" w:rsidP="007E737A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A chaque clic une rangée est ajoutée en dessous de la rangée inférieure</w:t>
            </w:r>
            <w:r w:rsidR="006A40B9">
              <w:rPr>
                <w:noProof/>
                <w:lang w:eastAsia="fr-FR" w:bidi="ar-SA"/>
              </w:rPr>
              <w:t>.</w:t>
            </w:r>
            <w:r w:rsidR="00D86D5B">
              <w:rPr>
                <w:noProof/>
                <w:lang w:eastAsia="fr-FR" w:bidi="ar-SA"/>
              </w:rPr>
              <w:t xml:space="preserve"> </w:t>
            </w:r>
          </w:p>
          <w:p w:rsidR="00D86D5B" w:rsidRDefault="006B2601" w:rsidP="007E737A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A</w:t>
            </w:r>
            <w:r w:rsidR="00D86D5B">
              <w:rPr>
                <w:noProof/>
                <w:lang w:eastAsia="fr-FR" w:bidi="ar-SA"/>
              </w:rPr>
              <w:t>jouter deux rangées.</w:t>
            </w:r>
          </w:p>
          <w:p w:rsidR="00BD14EC" w:rsidRDefault="00BD14EC" w:rsidP="007E737A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</w:p>
          <w:p w:rsidR="006A40B9" w:rsidRDefault="006A40B9" w:rsidP="00967598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 w:rsidRPr="006A40B9">
              <w:rPr>
                <w:b/>
                <w:noProof/>
                <w:lang w:eastAsia="fr-FR" w:bidi="ar-SA"/>
              </w:rPr>
              <w:t>Remarque :</w:t>
            </w:r>
            <w:r>
              <w:rPr>
                <w:noProof/>
                <w:lang w:eastAsia="fr-FR" w:bidi="ar-SA"/>
              </w:rPr>
              <w:t xml:space="preserve"> les parties blanches des bandeaux haut, gauche, droite et bas indiquent les zones possibles pour les </w:t>
            </w:r>
            <w:r w:rsidR="00BD6260">
              <w:rPr>
                <w:noProof/>
                <w:lang w:eastAsia="fr-FR" w:bidi="ar-SA"/>
              </w:rPr>
              <w:t xml:space="preserve">axes des </w:t>
            </w:r>
            <w:r>
              <w:rPr>
                <w:noProof/>
                <w:lang w:eastAsia="fr-FR" w:bidi="ar-SA"/>
              </w:rPr>
              <w:t>boulons. A ce stade elles ne sont pas toutes respectées.</w:t>
            </w:r>
          </w:p>
        </w:tc>
        <w:tc>
          <w:tcPr>
            <w:tcW w:w="4819" w:type="dxa"/>
            <w:vAlign w:val="center"/>
          </w:tcPr>
          <w:p w:rsidR="008318C8" w:rsidRDefault="007E737A" w:rsidP="000C0770"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2921000" cy="1907540"/>
                  <wp:effectExtent l="1905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0" cy="1907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18C8" w:rsidRDefault="00967598" w:rsidP="001D6222">
      <w:pPr>
        <w:rPr>
          <w:noProof/>
          <w:lang w:eastAsia="fr-FR" w:bidi="ar-SA"/>
        </w:rPr>
      </w:pPr>
      <w:r>
        <w:rPr>
          <w:noProof/>
          <w:lang w:eastAsia="fr-FR" w:bidi="ar-SA"/>
        </w:rPr>
        <w:t>Ces zones possibles sont déterminées à partir des pinces et des distances à la matière indiquées lors du paramétrage</w:t>
      </w:r>
      <w:r w:rsidR="001A26F4">
        <w:rPr>
          <w:noProof/>
          <w:lang w:eastAsia="fr-FR" w:bidi="ar-SA"/>
        </w:rPr>
        <w:t>.</w:t>
      </w:r>
    </w:p>
    <w:p w:rsidR="0060320D" w:rsidRDefault="0060320D" w:rsidP="00BD14EC">
      <w:pPr>
        <w:pStyle w:val="Titre2"/>
      </w:pPr>
      <w:r>
        <w:t>Rappel sur l’affichage des cotes</w:t>
      </w:r>
    </w:p>
    <w:p w:rsidR="00803C7E" w:rsidRDefault="0060320D" w:rsidP="0060320D">
      <w:r>
        <w:t>Lorsque l’on sélectionne un boulon d</w:t>
      </w:r>
      <w:r w:rsidR="006B2601">
        <w:t>eux types de cotes sont affiché</w:t>
      </w:r>
      <w:r>
        <w:t>s</w:t>
      </w:r>
      <w:r w:rsidR="00762980">
        <w:t>.</w:t>
      </w:r>
    </w:p>
    <w:p w:rsidR="0060320D" w:rsidRDefault="00762980" w:rsidP="0060320D">
      <w:r>
        <w:t>On peut changer la précision de l’affichage (options, unités, dimensions …).</w:t>
      </w:r>
    </w:p>
    <w:p w:rsidR="00762980" w:rsidRDefault="00762980" w:rsidP="0060320D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6"/>
        <w:gridCol w:w="4869"/>
        <w:gridCol w:w="2527"/>
      </w:tblGrid>
      <w:tr w:rsidR="00762980" w:rsidTr="00762980">
        <w:tc>
          <w:tcPr>
            <w:tcW w:w="3295" w:type="dxa"/>
          </w:tcPr>
          <w:p w:rsidR="00762980" w:rsidRDefault="00762980" w:rsidP="00762980"/>
          <w:p w:rsidR="00762980" w:rsidRDefault="00762980" w:rsidP="00762980"/>
          <w:p w:rsidR="00762980" w:rsidRDefault="00F65EA0" w:rsidP="00762980">
            <w:r>
              <w:rPr>
                <w:noProof/>
                <w:lang w:eastAsia="fr-FR" w:bidi="ar-SA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margin-left:149.45pt;margin-top:-39.9pt;width:19.2pt;height:121.75pt;rotation:-30859335fd;z-index:251676672" filled="f" strokecolor="#5f497a [2407]" strokeweight="2pt">
                  <v:textbox style="layout-flow:vertical-ideographic"/>
                </v:shape>
              </w:pict>
            </w:r>
          </w:p>
          <w:p w:rsidR="00762980" w:rsidRDefault="00762980" w:rsidP="00762980"/>
          <w:p w:rsidR="00762980" w:rsidRDefault="00762980" w:rsidP="00762980"/>
          <w:p w:rsidR="00762980" w:rsidRDefault="009E1FAD" w:rsidP="00762980">
            <w:r>
              <w:t>Ici l</w:t>
            </w:r>
            <w:r w:rsidR="00762980">
              <w:t>es cotes depuis les bords de la platine, en cotes cumulées.</w:t>
            </w:r>
          </w:p>
          <w:p w:rsidR="00762980" w:rsidRDefault="00F65EA0" w:rsidP="0060320D">
            <w:r>
              <w:rPr>
                <w:noProof/>
                <w:lang w:eastAsia="fr-FR" w:bidi="ar-SA"/>
              </w:rPr>
              <w:pict>
                <v:shape id="_x0000_s1050" type="#_x0000_t67" style="position:absolute;margin-left:93.65pt;margin-top:-22.65pt;width:19.2pt;height:67.7pt;rotation:-51807034fd;z-index:251677696" filled="f" strokecolor="#5f497a [2407]" strokeweight="2pt">
                  <v:textbox style="layout-flow:vertical-ideographic"/>
                </v:shape>
              </w:pict>
            </w:r>
          </w:p>
          <w:p w:rsidR="00762980" w:rsidRDefault="00762980" w:rsidP="0060320D"/>
          <w:p w:rsidR="00762980" w:rsidRDefault="00762980" w:rsidP="0060320D"/>
          <w:p w:rsidR="00762980" w:rsidRDefault="00762980" w:rsidP="0060320D">
            <w:r>
              <w:t xml:space="preserve">Sur le bandeau de droite on retrouve les mêmes cotes mais en </w:t>
            </w:r>
            <w:r w:rsidR="00BA4B4E">
              <w:t>valeurs d’</w:t>
            </w:r>
            <w:r>
              <w:t>entraxes</w:t>
            </w:r>
          </w:p>
        </w:tc>
        <w:tc>
          <w:tcPr>
            <w:tcW w:w="3295" w:type="dxa"/>
          </w:tcPr>
          <w:p w:rsidR="00762980" w:rsidRDefault="00F65EA0" w:rsidP="0060320D">
            <w:r>
              <w:rPr>
                <w:noProof/>
                <w:lang w:eastAsia="fr-FR" w:bidi="ar-SA"/>
              </w:rPr>
              <w:pict>
                <v:shape id="_x0000_s1047" type="#_x0000_t67" style="position:absolute;margin-left:222.6pt;margin-top:1.95pt;width:19.2pt;height:165.1pt;rotation:7480530fd;z-index:251674624;mso-position-horizontal-relative:text;mso-position-vertical-relative:text" filled="f" strokecolor="#e36c0a [2409]" strokeweight="2pt">
                  <v:textbox style="layout-flow:vertical-ideographic"/>
                </v:shape>
              </w:pict>
            </w:r>
            <w:r>
              <w:rPr>
                <w:noProof/>
                <w:lang w:eastAsia="fr-FR" w:bidi="ar-SA"/>
              </w:rPr>
              <w:pict>
                <v:shape id="_x0000_s1048" type="#_x0000_t67" style="position:absolute;margin-left:202.45pt;margin-top:122.35pt;width:19.2pt;height:183.2pt;rotation:3924663fd;z-index:251675648;mso-position-horizontal-relative:text;mso-position-vertical-relative:text" filled="f" strokecolor="#e36c0a [2409]" strokeweight="2pt">
                  <v:textbox style="layout-flow:vertical-ideographic"/>
                </v:shape>
              </w:pict>
            </w:r>
            <w:r w:rsidR="00762980">
              <w:rPr>
                <w:noProof/>
                <w:lang w:eastAsia="fr-FR" w:bidi="ar-SA"/>
              </w:rPr>
              <w:drawing>
                <wp:inline distT="0" distB="0" distL="0" distR="0">
                  <wp:extent cx="2935165" cy="3527487"/>
                  <wp:effectExtent l="19050" t="0" r="0" b="0"/>
                  <wp:docPr id="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32" cy="352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6" w:type="dxa"/>
          </w:tcPr>
          <w:p w:rsidR="00762980" w:rsidRDefault="00762980" w:rsidP="00762980"/>
          <w:p w:rsidR="00762980" w:rsidRDefault="00762980" w:rsidP="00762980"/>
          <w:p w:rsidR="00762980" w:rsidRDefault="00762980" w:rsidP="00762980"/>
          <w:p w:rsidR="00762980" w:rsidRDefault="00762980" w:rsidP="00762980"/>
          <w:p w:rsidR="00762980" w:rsidRDefault="00762980" w:rsidP="00762980"/>
          <w:p w:rsidR="00762980" w:rsidRDefault="00762980" w:rsidP="00762980"/>
          <w:p w:rsidR="00762980" w:rsidRDefault="00762980" w:rsidP="00762980"/>
          <w:p w:rsidR="00762980" w:rsidRDefault="00762980" w:rsidP="00762980"/>
          <w:p w:rsidR="00762980" w:rsidRDefault="00762980" w:rsidP="00762980"/>
          <w:p w:rsidR="00762980" w:rsidRDefault="009E1FAD" w:rsidP="00762980">
            <w:r>
              <w:t>Et ici l</w:t>
            </w:r>
            <w:r w:rsidR="00762980">
              <w:t>es cotes depuis la matière la plus proche (distance à la matière).</w:t>
            </w:r>
          </w:p>
          <w:p w:rsidR="00762980" w:rsidRDefault="00762980" w:rsidP="0060320D"/>
        </w:tc>
      </w:tr>
    </w:tbl>
    <w:p w:rsidR="0060320D" w:rsidRDefault="0060320D" w:rsidP="0060320D"/>
    <w:p w:rsidR="0060320D" w:rsidRDefault="0060320D" w:rsidP="0060320D"/>
    <w:p w:rsidR="0060320D" w:rsidRDefault="0060320D" w:rsidP="0060320D"/>
    <w:p w:rsidR="0060320D" w:rsidRDefault="00F65EA0" w:rsidP="0060320D">
      <w:pPr>
        <w:jc w:val="center"/>
      </w:pPr>
      <w:r>
        <w:rPr>
          <w:noProof/>
          <w:lang w:eastAsia="fr-FR" w:bidi="ar-SA"/>
        </w:rPr>
        <w:pict>
          <v:shapetype id="_x0000_t89" coordsize="21600,21600" o:spt="89" adj="9257,18514,6171" path="m@4,l@0@2@5@2@5@5@2@5@2@0,0@4@2,21600@2@1@1@1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sum @5 0 @4"/>
              <v:f eqn="sum #0 0 @4"/>
              <v:f eqn="prod @2 @10 @11"/>
            </v:formulas>
            <v:path o:connecttype="custom" o:connectlocs="@4,0;@0,@2;@2,@0;0,@4;@2,21600;@7,@1;@1,@7;21600,@2" o:connectangles="270,180,270,180,90,90,0,0" textboxrect="@12,@5,@1,@1;@5,@12,@1,@1"/>
            <v:handles>
              <v:h position="#0,topLeft" xrange="@2,@9"/>
              <v:h position="#1,#2" xrange="@4,21600" yrange="0,@0"/>
            </v:handles>
          </v:shapetype>
          <v:shape id="_x0000_s1045" type="#_x0000_t89" style="position:absolute;left:0;text-align:left;margin-left:369.3pt;margin-top:198.2pt;width:115.5pt;height:125pt;z-index:251673600" strokecolor="#e36c0a [2409]" strokeweight="1.5pt"/>
        </w:pict>
      </w:r>
    </w:p>
    <w:p w:rsidR="0060320D" w:rsidRDefault="0060320D">
      <w:pPr>
        <w:ind w:firstLine="360"/>
        <w:rPr>
          <w:rFonts w:ascii="Calibri" w:eastAsiaTheme="majorEastAsia" w:hAnsi="Calibri" w:cstheme="majorBidi"/>
          <w:b/>
          <w:color w:val="984806" w:themeColor="accent6" w:themeShade="80"/>
          <w:sz w:val="24"/>
          <w:szCs w:val="24"/>
        </w:rPr>
      </w:pPr>
      <w:r>
        <w:br w:type="page"/>
      </w:r>
    </w:p>
    <w:p w:rsidR="00BD14EC" w:rsidRDefault="00BD14EC" w:rsidP="00BD14EC">
      <w:pPr>
        <w:pStyle w:val="Titre2"/>
      </w:pPr>
      <w:r>
        <w:lastRenderedPageBreak/>
        <w:t>Répartition des rangées</w:t>
      </w:r>
      <w:r w:rsidR="00CE4B7A">
        <w:t xml:space="preserve"> basée sur les minima</w:t>
      </w: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819"/>
      </w:tblGrid>
      <w:tr w:rsidR="00BD14EC" w:rsidTr="000C0770">
        <w:tc>
          <w:tcPr>
            <w:tcW w:w="5070" w:type="dxa"/>
          </w:tcPr>
          <w:p w:rsidR="00BD14EC" w:rsidRDefault="00BD14EC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Action par le bouton « </w:t>
            </w:r>
            <w:r w:rsidR="004E2BCA">
              <w:rPr>
                <w:noProof/>
                <w:lang w:eastAsia="fr-FR" w:bidi="ar-SA"/>
              </w:rPr>
              <w:t>Optimisation</w:t>
            </w:r>
            <w:r>
              <w:rPr>
                <w:noProof/>
                <w:lang w:eastAsia="fr-FR" w:bidi="ar-SA"/>
              </w:rPr>
              <w:t> » :</w:t>
            </w:r>
          </w:p>
          <w:p w:rsidR="00BD14EC" w:rsidRDefault="004E2BCA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 xml:space="preserve"> </w:t>
            </w:r>
            <w:r w:rsidR="00784489">
              <w:rPr>
                <w:noProof/>
                <w:lang w:eastAsia="fr-FR" w:bidi="ar-SA"/>
              </w:rPr>
              <w:t xml:space="preserve"> </w:t>
            </w:r>
            <w:r w:rsidR="00784489">
              <w:rPr>
                <w:noProof/>
                <w:lang w:eastAsia="fr-FR" w:bidi="ar-SA"/>
              </w:rPr>
              <w:drawing>
                <wp:inline distT="0" distB="0" distL="0" distR="0">
                  <wp:extent cx="868641" cy="664420"/>
                  <wp:effectExtent l="19050" t="0" r="7659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650" cy="665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6BD" w:rsidRDefault="007776BD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</w:p>
          <w:p w:rsidR="00A72152" w:rsidRDefault="00E56990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Les boulons sont positionnés en tenant compte de deux limites :</w:t>
            </w:r>
          </w:p>
          <w:p w:rsidR="00E56990" w:rsidRDefault="00E56990" w:rsidP="00AD393A">
            <w:pPr>
              <w:pStyle w:val="Listenumros"/>
              <w:numPr>
                <w:ilvl w:val="0"/>
                <w:numId w:val="5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Les valeurs minimales de la distance à la matière (voir la fiche « Paramètres généraux de PowerConnect ») en diamètre et en hauteur :</w:t>
            </w:r>
          </w:p>
          <w:p w:rsidR="00E56990" w:rsidRDefault="00E56990" w:rsidP="00E56990">
            <w:pPr>
              <w:pStyle w:val="Listenumros"/>
              <w:numPr>
                <w:ilvl w:val="0"/>
                <w:numId w:val="0"/>
              </w:numPr>
              <w:jc w:val="right"/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2453750" cy="560800"/>
                  <wp:effectExtent l="19050" t="0" r="370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861" cy="56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 w:bidi="ar-SA"/>
              </w:rPr>
              <w:t xml:space="preserve"> </w:t>
            </w:r>
          </w:p>
          <w:p w:rsidR="00E56990" w:rsidRDefault="00E56990" w:rsidP="00AD393A">
            <w:pPr>
              <w:pStyle w:val="Listenumros"/>
              <w:numPr>
                <w:ilvl w:val="0"/>
                <w:numId w:val="5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>Les valeurs minimales des pinces et des entraxes selon l’EuroCode 3-1-8 tableau 3.3.</w:t>
            </w:r>
          </w:p>
          <w:p w:rsidR="007776BD" w:rsidRDefault="007776BD" w:rsidP="000C0770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</w:p>
          <w:p w:rsidR="00BD14EC" w:rsidRDefault="00047B6E" w:rsidP="00986CB8">
            <w:pPr>
              <w:pStyle w:val="Listenumros"/>
              <w:numPr>
                <w:ilvl w:val="0"/>
                <w:numId w:val="0"/>
              </w:numPr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t xml:space="preserve">Verticalement, les cotes dépendent des deux dimensions de construction : </w:t>
            </w:r>
            <w:r w:rsidRPr="00C642A6">
              <w:rPr>
                <w:b/>
                <w:noProof/>
                <w:color w:val="FF0000"/>
                <w:lang w:eastAsia="fr-FR" w:bidi="ar-SA"/>
              </w:rPr>
              <w:t>D</w:t>
            </w:r>
            <w:r>
              <w:rPr>
                <w:noProof/>
                <w:lang w:eastAsia="fr-FR" w:bidi="ar-SA"/>
              </w:rPr>
              <w:t xml:space="preserve"> et </w:t>
            </w:r>
            <w:r w:rsidRPr="00C642A6">
              <w:rPr>
                <w:b/>
                <w:noProof/>
                <w:color w:val="FF0000"/>
                <w:lang w:eastAsia="fr-FR" w:bidi="ar-SA"/>
              </w:rPr>
              <w:t>H</w:t>
            </w:r>
            <w:r>
              <w:rPr>
                <w:noProof/>
                <w:lang w:eastAsia="fr-FR" w:bidi="ar-SA"/>
              </w:rPr>
              <w:t>. Voir la figure ci-dessous</w:t>
            </w:r>
            <w:r w:rsidR="008562FB">
              <w:rPr>
                <w:noProof/>
                <w:lang w:eastAsia="fr-FR" w:bidi="ar-SA"/>
              </w:rPr>
              <w:t xml:space="preserve"> </w:t>
            </w:r>
            <w:r w:rsidR="007D0D01">
              <w:rPr>
                <w:noProof/>
                <w:lang w:eastAsia="fr-FR" w:bidi="ar-SA"/>
              </w:rPr>
              <w:t>expliquant</w:t>
            </w:r>
            <w:r w:rsidR="008562FB">
              <w:rPr>
                <w:noProof/>
                <w:lang w:eastAsia="fr-FR" w:bidi="ar-SA"/>
              </w:rPr>
              <w:t xml:space="preserve"> pourquoi la</w:t>
            </w:r>
            <w:r w:rsidR="00363D07">
              <w:rPr>
                <w:noProof/>
                <w:lang w:eastAsia="fr-FR" w:bidi="ar-SA"/>
              </w:rPr>
              <w:t xml:space="preserve"> cote la plus haute (40 mm) et la plus basse (</w:t>
            </w:r>
            <w:r w:rsidR="00476D8E">
              <w:rPr>
                <w:noProof/>
                <w:lang w:eastAsia="fr-FR" w:bidi="ar-SA"/>
              </w:rPr>
              <w:t xml:space="preserve">61,7 mm </w:t>
            </w:r>
            <w:r w:rsidR="00986CB8">
              <w:rPr>
                <w:noProof/>
                <w:lang w:eastAsia="fr-FR" w:bidi="ar-SA"/>
              </w:rPr>
              <w:t>– a</w:t>
            </w:r>
            <w:r w:rsidR="00476D8E">
              <w:rPr>
                <w:noProof/>
                <w:lang w:eastAsia="fr-FR" w:bidi="ar-SA"/>
              </w:rPr>
              <w:t xml:space="preserve">ffichée à </w:t>
            </w:r>
            <w:r w:rsidR="00363D07">
              <w:rPr>
                <w:noProof/>
                <w:lang w:eastAsia="fr-FR" w:bidi="ar-SA"/>
              </w:rPr>
              <w:t>62 mm) sont différentes.</w:t>
            </w:r>
          </w:p>
        </w:tc>
        <w:tc>
          <w:tcPr>
            <w:tcW w:w="4819" w:type="dxa"/>
            <w:vAlign w:val="center"/>
          </w:tcPr>
          <w:p w:rsidR="00BD14EC" w:rsidRDefault="003E1CFC" w:rsidP="007776BD">
            <w:pPr>
              <w:jc w:val="center"/>
            </w:pPr>
            <w:r>
              <w:rPr>
                <w:noProof/>
                <w:lang w:eastAsia="fr-FR" w:bidi="ar-SA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958215</wp:posOffset>
                  </wp:positionV>
                  <wp:extent cx="1337310" cy="2948940"/>
                  <wp:effectExtent l="19050" t="0" r="0" b="0"/>
                  <wp:wrapNone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294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 w:bidi="ar-SA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-1731645</wp:posOffset>
                  </wp:positionH>
                  <wp:positionV relativeFrom="paragraph">
                    <wp:posOffset>-46990</wp:posOffset>
                  </wp:positionV>
                  <wp:extent cx="1489710" cy="2948940"/>
                  <wp:effectExtent l="19050" t="0" r="0" b="0"/>
                  <wp:wrapSquare wrapText="bothSides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294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6BD">
              <w:t xml:space="preserve"> </w:t>
            </w:r>
          </w:p>
        </w:tc>
      </w:tr>
    </w:tbl>
    <w:p w:rsidR="00A06CDE" w:rsidRDefault="00A06CDE">
      <w:pPr>
        <w:ind w:firstLine="360"/>
      </w:pPr>
    </w:p>
    <w:p w:rsidR="00A72152" w:rsidRDefault="00F65EA0" w:rsidP="00BD14EC">
      <w:r>
        <w:rPr>
          <w:noProof/>
          <w:lang w:eastAsia="fr-FR"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3" type="#_x0000_t63" style="position:absolute;margin-left:-20.2pt;margin-top:4.05pt;width:173pt;height:43.65pt;z-index:251672576" adj="23460,26326" strokecolor="red">
            <v:textbox>
              <w:txbxContent>
                <w:p w:rsidR="004736AA" w:rsidRDefault="004736AA" w:rsidP="004736AA">
                  <w:r>
                    <w:t>Point fixant la cote de 40 mm</w:t>
                  </w:r>
                </w:p>
              </w:txbxContent>
            </v:textbox>
          </v:shape>
        </w:pict>
      </w:r>
    </w:p>
    <w:p w:rsidR="00BD14EC" w:rsidRDefault="00BD14EC" w:rsidP="00BD14EC"/>
    <w:p w:rsidR="008318C8" w:rsidRDefault="00F65EA0" w:rsidP="001D6222">
      <w:r>
        <w:rPr>
          <w:noProof/>
          <w:lang w:eastAsia="fr-FR" w:bidi="ar-SA"/>
        </w:rPr>
        <w:pict>
          <v:shape id="_x0000_s1042" type="#_x0000_t63" style="position:absolute;margin-left:189.15pt;margin-top:233pt;width:253.65pt;height:43.65pt;z-index:251671552" adj="-68,-2623" strokecolor="red">
            <v:textbox>
              <w:txbxContent>
                <w:p w:rsidR="004736AA" w:rsidRDefault="004736AA">
                  <w:r>
                    <w:t xml:space="preserve">Point fixant la cote de </w:t>
                  </w:r>
                  <w:r w:rsidR="00476D8E">
                    <w:rPr>
                      <w:noProof/>
                      <w:lang w:eastAsia="fr-FR" w:bidi="ar-SA"/>
                    </w:rPr>
                    <w:t>61,7 mm (affichée à 62 mm)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rect id="_x0000_s1038" style="position:absolute;margin-left:166.45pt;margin-top:198.4pt;width:19.85pt;height:30.9pt;z-index:251666432" strokecolor="red">
            <v:fill opacity=".25"/>
          </v:rect>
        </w:pict>
      </w:r>
      <w:r>
        <w:rPr>
          <w:noProof/>
          <w:lang w:eastAsia="fr-FR" w:bidi="ar-SA"/>
        </w:rPr>
        <w:pict>
          <v:rect id="_x0000_s1039" style="position:absolute;margin-left:166.45pt;margin-top:31.35pt;width:19.85pt;height:30.9pt;z-index:251667456" strokecolor="red">
            <v:fill opacity=".25"/>
          </v:rect>
        </w:pict>
      </w:r>
      <w:r w:rsidR="008562FB">
        <w:rPr>
          <w:noProof/>
          <w:lang w:eastAsia="fr-FR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1245870</wp:posOffset>
            </wp:positionV>
            <wp:extent cx="2447290" cy="558800"/>
            <wp:effectExtent l="19050" t="0" r="0" b="0"/>
            <wp:wrapNone/>
            <wp:docPr id="20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9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99.3pt;margin-top:35.3pt;width:194.05pt;height:21.4pt;z-index:251669504;mso-width-percent:400;mso-height-percent:200;mso-position-horizontal-relative:text;mso-position-vertical-relative:text;mso-width-percent:400;mso-height-percent:200;mso-width-relative:margin;mso-height-relative:margin" strokecolor="red">
            <v:textbox style="mso-fit-shape-to-text:t">
              <w:txbxContent>
                <w:p w:rsidR="0007684A" w:rsidRDefault="0007684A">
                  <w:r>
                    <w:t>Encombrement 80x50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1" type="#_x0000_t202" style="position:absolute;margin-left:209.25pt;margin-top:205.65pt;width:194.05pt;height:21.4pt;z-index:251670528;mso-width-percent:400;mso-height-percent:200;mso-position-horizontal-relative:text;mso-position-vertical-relative:text;mso-width-percent:400;mso-height-percent:200;mso-width-relative:margin;mso-height-relative:margin" strokecolor="red">
            <v:textbox style="mso-fit-shape-to-text:t">
              <w:txbxContent>
                <w:p w:rsidR="0007684A" w:rsidRDefault="0007684A" w:rsidP="0007684A">
                  <w:r>
                    <w:t>Encombrement 80x50</w:t>
                  </w:r>
                </w:p>
              </w:txbxContent>
            </v:textbox>
          </v:shape>
        </w:pict>
      </w:r>
      <w:r w:rsidR="008562FB">
        <w:rPr>
          <w:noProof/>
          <w:lang w:eastAsia="fr-FR" w:bidi="ar-SA"/>
        </w:rPr>
        <w:drawing>
          <wp:inline distT="0" distB="0" distL="0" distR="0">
            <wp:extent cx="6188710" cy="3193442"/>
            <wp:effectExtent l="19050" t="0" r="254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193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8C8" w:rsidRDefault="008318C8" w:rsidP="001D6222"/>
    <w:p w:rsidR="0088333C" w:rsidRDefault="0088333C">
      <w:pPr>
        <w:ind w:firstLine="360"/>
        <w:rPr>
          <w:rFonts w:ascii="Calibri" w:eastAsiaTheme="majorEastAsia" w:hAnsi="Calibri" w:cstheme="majorBidi"/>
          <w:b/>
          <w:color w:val="984806" w:themeColor="accent6" w:themeShade="80"/>
          <w:sz w:val="24"/>
          <w:szCs w:val="24"/>
        </w:rPr>
      </w:pPr>
    </w:p>
    <w:p w:rsidR="0060320D" w:rsidRDefault="0060320D">
      <w:pPr>
        <w:ind w:firstLine="360"/>
        <w:rPr>
          <w:rFonts w:ascii="Calibri" w:eastAsiaTheme="majorEastAsia" w:hAnsi="Calibri" w:cstheme="majorBidi"/>
          <w:b/>
          <w:color w:val="984806" w:themeColor="accent6" w:themeShade="80"/>
          <w:sz w:val="24"/>
          <w:szCs w:val="24"/>
        </w:rPr>
      </w:pPr>
      <w:r>
        <w:br w:type="page"/>
      </w:r>
    </w:p>
    <w:p w:rsidR="00B55A7D" w:rsidRDefault="0088333C" w:rsidP="00484691">
      <w:pPr>
        <w:pStyle w:val="Titre2"/>
      </w:pPr>
      <w:r>
        <w:lastRenderedPageBreak/>
        <w:t>Modification de la répartition</w:t>
      </w:r>
    </w:p>
    <w:tbl>
      <w:tblPr>
        <w:tblStyle w:val="Grilledutableau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4819"/>
      </w:tblGrid>
      <w:tr w:rsidR="002E7215" w:rsidTr="003B0976">
        <w:tc>
          <w:tcPr>
            <w:tcW w:w="5070" w:type="dxa"/>
          </w:tcPr>
          <w:p w:rsidR="00AC46D8" w:rsidRDefault="0088333C" w:rsidP="0088333C">
            <w:pPr>
              <w:pStyle w:val="Titre3"/>
            </w:pPr>
            <w:r>
              <w:t>Modification d’une rangée</w:t>
            </w:r>
          </w:p>
          <w:p w:rsidR="0088333C" w:rsidRDefault="0088333C" w:rsidP="0088333C">
            <w:r>
              <w:t>La cote inférieure de 6</w:t>
            </w:r>
            <w:r w:rsidR="00986CB8">
              <w:t>1,7</w:t>
            </w:r>
            <w:r w:rsidR="00476D8E">
              <w:t> </w:t>
            </w:r>
            <w:r>
              <w:t>mm ne nous convient pas, on veut imposer une cote de 65</w:t>
            </w:r>
            <w:r w:rsidR="00986CB8">
              <w:t>,0</w:t>
            </w:r>
            <w:r>
              <w:t> mm :</w:t>
            </w:r>
          </w:p>
          <w:p w:rsidR="0088333C" w:rsidRDefault="00476D8E" w:rsidP="0088333C">
            <w:r w:rsidRPr="00476D8E">
              <w:rPr>
                <w:noProof/>
                <w:lang w:eastAsia="fr-FR" w:bidi="ar-SA"/>
              </w:rPr>
              <w:drawing>
                <wp:inline distT="0" distB="0" distL="0" distR="0">
                  <wp:extent cx="2244090" cy="1066800"/>
                  <wp:effectExtent l="19050" t="0" r="3810" b="0"/>
                  <wp:docPr id="7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31386" t="73535" r="171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09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88333C" w:rsidRPr="0088333C" w:rsidRDefault="0088333C" w:rsidP="0088333C"/>
          <w:p w:rsidR="0088333C" w:rsidRDefault="0088333C" w:rsidP="0088333C">
            <w:r>
              <w:t>Pour modifier la position de cette seule rangée :</w:t>
            </w:r>
          </w:p>
          <w:p w:rsidR="0088333C" w:rsidRDefault="0088333C" w:rsidP="00AD393A">
            <w:pPr>
              <w:pStyle w:val="Paragraphedeliste"/>
              <w:numPr>
                <w:ilvl w:val="0"/>
                <w:numId w:val="6"/>
              </w:numPr>
            </w:pPr>
            <w:r>
              <w:t>Sélectionner la rangée (ici celle du bas),</w:t>
            </w:r>
          </w:p>
          <w:p w:rsidR="0088333C" w:rsidRDefault="0088333C" w:rsidP="00AD393A">
            <w:pPr>
              <w:pStyle w:val="Paragraphedeliste"/>
              <w:numPr>
                <w:ilvl w:val="0"/>
                <w:numId w:val="6"/>
              </w:numPr>
            </w:pPr>
            <w:r>
              <w:t xml:space="preserve">Régler le pas de réglage (ici </w:t>
            </w:r>
            <w:r w:rsidR="0084559E">
              <w:t>0,</w:t>
            </w:r>
            <w:r w:rsidR="00476D8E">
              <w:t xml:space="preserve">1 mm puis </w:t>
            </w:r>
            <w:r>
              <w:t>1 mm</w:t>
            </w:r>
            <w:r w:rsidR="00476D8E">
              <w:t xml:space="preserve"> pour obtenir 65,0</w:t>
            </w:r>
            <w:r>
              <w:t>),</w:t>
            </w:r>
          </w:p>
          <w:p w:rsidR="0088333C" w:rsidRDefault="0088333C" w:rsidP="00AD393A">
            <w:pPr>
              <w:pStyle w:val="Paragraphedeliste"/>
              <w:numPr>
                <w:ilvl w:val="0"/>
                <w:numId w:val="6"/>
              </w:numPr>
            </w:pPr>
            <w:r>
              <w:t xml:space="preserve">Cliquer sur le bouton de déplacement vers le haut </w:t>
            </w:r>
            <w:r w:rsidR="00B65A88">
              <w:t xml:space="preserve"> </w:t>
            </w: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316865" cy="201295"/>
                  <wp:effectExtent l="19050" t="0" r="6985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" cy="201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59E" w:rsidRDefault="0084559E" w:rsidP="0088333C">
            <w:pPr>
              <w:rPr>
                <w:b/>
              </w:rPr>
            </w:pPr>
          </w:p>
          <w:p w:rsidR="0088333C" w:rsidRPr="00AC46D8" w:rsidRDefault="004F4179" w:rsidP="0088333C">
            <w:r w:rsidRPr="004F4179">
              <w:rPr>
                <w:b/>
              </w:rPr>
              <w:t>Remarque :</w:t>
            </w:r>
            <w:r>
              <w:t xml:space="preserve"> la modification ne doit être faite que dans le sens respectant la distance minimale : on ne peut donc qu’augmenter la cote de 6</w:t>
            </w:r>
            <w:r w:rsidR="00986CB8">
              <w:t>1,7</w:t>
            </w:r>
            <w:r>
              <w:t>.</w:t>
            </w:r>
          </w:p>
        </w:tc>
        <w:tc>
          <w:tcPr>
            <w:tcW w:w="4819" w:type="dxa"/>
            <w:vAlign w:val="center"/>
          </w:tcPr>
          <w:p w:rsidR="00AC46D8" w:rsidRDefault="0084559E" w:rsidP="00635E66">
            <w:pPr>
              <w:jc w:val="center"/>
            </w:pPr>
            <w:r w:rsidRPr="0084559E">
              <w:rPr>
                <w:noProof/>
                <w:lang w:eastAsia="fr-FR" w:bidi="ar-SA"/>
              </w:rPr>
              <w:drawing>
                <wp:inline distT="0" distB="0" distL="0" distR="0">
                  <wp:extent cx="2939034" cy="3093720"/>
                  <wp:effectExtent l="19050" t="0" r="0" b="0"/>
                  <wp:docPr id="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t="27536" r="362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9034" cy="309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3860" w:rsidTr="003B0976">
        <w:tc>
          <w:tcPr>
            <w:tcW w:w="5070" w:type="dxa"/>
          </w:tcPr>
          <w:p w:rsidR="00FB3860" w:rsidRDefault="00FB3860" w:rsidP="00FB3860">
            <w:pPr>
              <w:pStyle w:val="Titre3"/>
            </w:pPr>
            <w:r>
              <w:t>Modification de l’ensemble des rangées</w:t>
            </w:r>
          </w:p>
          <w:p w:rsidR="00FB3860" w:rsidRDefault="00FB3860" w:rsidP="00FB3860">
            <w:r>
              <w:t>L</w:t>
            </w:r>
            <w:r w:rsidR="00534A82">
              <w:t>es</w:t>
            </w:r>
            <w:r>
              <w:t xml:space="preserve"> pince</w:t>
            </w:r>
            <w:r w:rsidR="00534A82">
              <w:t>s</w:t>
            </w:r>
            <w:r>
              <w:t xml:space="preserve"> de 41 mm ne nous convien</w:t>
            </w:r>
            <w:r w:rsidR="00534A82">
              <w:t>nent</w:t>
            </w:r>
            <w:r>
              <w:t xml:space="preserve"> pas, on veut imposer </w:t>
            </w:r>
            <w:r w:rsidR="00534A82">
              <w:t xml:space="preserve">les deux </w:t>
            </w:r>
            <w:r>
              <w:t>pince</w:t>
            </w:r>
            <w:r w:rsidR="00534A82">
              <w:t>s</w:t>
            </w:r>
            <w:r>
              <w:t xml:space="preserve"> de 40 mm </w:t>
            </w:r>
            <w:r w:rsidR="00534A82">
              <w:t>(170-130=40) </w:t>
            </w:r>
            <w:r>
              <w:t>:</w:t>
            </w:r>
          </w:p>
          <w:p w:rsidR="004F4179" w:rsidRDefault="00534A82" w:rsidP="00FB3860"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1595933" cy="1186891"/>
                  <wp:effectExtent l="19050" t="0" r="4267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933" cy="1186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4179" w:rsidRDefault="004F4179" w:rsidP="004F4179"/>
          <w:p w:rsidR="004F4179" w:rsidRDefault="004F4179" w:rsidP="004F4179">
            <w:r>
              <w:t>Pour modifier la position de cette seule rangée :</w:t>
            </w:r>
          </w:p>
          <w:p w:rsidR="004F4179" w:rsidRDefault="004F4179" w:rsidP="00AD393A">
            <w:pPr>
              <w:pStyle w:val="Paragraphedeliste"/>
              <w:numPr>
                <w:ilvl w:val="0"/>
                <w:numId w:val="7"/>
              </w:numPr>
            </w:pPr>
            <w:r>
              <w:t xml:space="preserve">Sélectionner </w:t>
            </w:r>
            <w:r w:rsidR="0006093B">
              <w:t xml:space="preserve">une </w:t>
            </w:r>
            <w:r>
              <w:t xml:space="preserve">rangée </w:t>
            </w:r>
            <w:r w:rsidR="0006093B">
              <w:t>quelconque</w:t>
            </w:r>
            <w:r>
              <w:t>,</w:t>
            </w:r>
          </w:p>
          <w:p w:rsidR="00534A82" w:rsidRDefault="00534A82" w:rsidP="00AD393A">
            <w:pPr>
              <w:pStyle w:val="Paragraphedeliste"/>
              <w:numPr>
                <w:ilvl w:val="0"/>
                <w:numId w:val="7"/>
              </w:numPr>
            </w:pPr>
            <w:r>
              <w:t>Cliquer sur le bouton « Déplacer tous les boulons ensemble »,</w:t>
            </w:r>
          </w:p>
          <w:p w:rsidR="004F4179" w:rsidRDefault="004F4179" w:rsidP="00AD393A">
            <w:pPr>
              <w:pStyle w:val="Paragraphedeliste"/>
              <w:numPr>
                <w:ilvl w:val="0"/>
                <w:numId w:val="7"/>
              </w:numPr>
            </w:pPr>
            <w:r>
              <w:t xml:space="preserve">Régler le pas de réglage (ici </w:t>
            </w:r>
            <w:r w:rsidR="00476D8E">
              <w:t>0,</w:t>
            </w:r>
            <w:r>
              <w:t>1 mm</w:t>
            </w:r>
            <w:r w:rsidR="00476D8E">
              <w:t xml:space="preserve"> puis 1 mm</w:t>
            </w:r>
            <w:r>
              <w:t>),</w:t>
            </w:r>
          </w:p>
          <w:p w:rsidR="00534A82" w:rsidRDefault="004F4179" w:rsidP="00AD393A">
            <w:pPr>
              <w:pStyle w:val="Paragraphedeliste"/>
              <w:numPr>
                <w:ilvl w:val="0"/>
                <w:numId w:val="7"/>
              </w:numPr>
            </w:pPr>
            <w:r>
              <w:t xml:space="preserve">Cliquer sur le bouton de déplacement </w:t>
            </w:r>
            <w:r w:rsidR="00534A82">
              <w:t xml:space="preserve">« Augmenter l’entre-distance entre les boulons » </w:t>
            </w:r>
          </w:p>
          <w:p w:rsidR="004F4179" w:rsidRDefault="00534A82" w:rsidP="00534A82">
            <w:pPr>
              <w:ind w:left="720"/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201295" cy="316865"/>
                  <wp:effectExtent l="19050" t="0" r="8255" b="0"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3860" w:rsidRDefault="001E08C2" w:rsidP="00FB3860">
            <w:r w:rsidRPr="001E08C2">
              <w:rPr>
                <w:b/>
              </w:rPr>
              <w:t>Remarque :</w:t>
            </w:r>
            <w:r>
              <w:t xml:space="preserve"> l</w:t>
            </w:r>
            <w:r w:rsidR="00B65A88">
              <w:t>e pas étant de 1 mm il nous faut cliquer 2 fois pour modifier les 2 pinces de 1 mm chacune.</w:t>
            </w:r>
          </w:p>
        </w:tc>
        <w:tc>
          <w:tcPr>
            <w:tcW w:w="4819" w:type="dxa"/>
            <w:vAlign w:val="center"/>
          </w:tcPr>
          <w:p w:rsidR="00FB3860" w:rsidRDefault="0006093B" w:rsidP="00635E66">
            <w:pPr>
              <w:jc w:val="center"/>
              <w:rPr>
                <w:noProof/>
                <w:lang w:eastAsia="fr-FR" w:bidi="ar-SA"/>
              </w:rPr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2922905" cy="3743960"/>
                  <wp:effectExtent l="19050" t="0" r="0" b="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2905" cy="3743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559E" w:rsidRPr="00762980" w:rsidRDefault="0084559E" w:rsidP="00476D8E">
      <w:pPr>
        <w:rPr>
          <w:rFonts w:eastAsiaTheme="majorEastAsia"/>
        </w:rPr>
      </w:pPr>
    </w:p>
    <w:sectPr w:rsidR="0084559E" w:rsidRPr="00762980" w:rsidSect="007B5FB9">
      <w:headerReference w:type="default" r:id="rId28"/>
      <w:footerReference w:type="default" r:id="rId2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E9E" w:rsidRDefault="00BF3E9E" w:rsidP="001C5180">
      <w:r>
        <w:separator/>
      </w:r>
    </w:p>
  </w:endnote>
  <w:endnote w:type="continuationSeparator" w:id="0">
    <w:p w:rsidR="00BF3E9E" w:rsidRDefault="00BF3E9E" w:rsidP="001C5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single" w:sz="12" w:space="0" w:color="984806" w:themeColor="accent6" w:themeShade="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52"/>
      <w:gridCol w:w="1276"/>
      <w:gridCol w:w="3544"/>
      <w:gridCol w:w="1449"/>
    </w:tblGrid>
    <w:tr w:rsidR="009A1BAC" w:rsidRPr="009A1BAC" w:rsidTr="009A1BAC">
      <w:tc>
        <w:tcPr>
          <w:tcW w:w="3652" w:type="dxa"/>
        </w:tcPr>
        <w:p w:rsidR="009A1BAC" w:rsidRPr="009A1BAC" w:rsidRDefault="00F65EA0" w:rsidP="001C5180">
          <w:pPr>
            <w:pStyle w:val="En-tte"/>
            <w:rPr>
              <w:b/>
              <w:bCs/>
              <w:color w:val="215868" w:themeColor="accent5" w:themeShade="80"/>
              <w:sz w:val="24"/>
              <w:szCs w:val="24"/>
            </w:rPr>
          </w:pPr>
          <w:fldSimple w:instr=" FILENAME  \* FirstCap  \* MERGEFORMAT ">
            <w:r w:rsidR="004B5F84" w:rsidRPr="004B5F84">
              <w:rPr>
                <w:noProof/>
                <w:color w:val="215868" w:themeColor="accent5" w:themeShade="80"/>
                <w:sz w:val="24"/>
                <w:szCs w:val="24"/>
              </w:rPr>
              <w:t>15-implantation ENC-17.docx</w:t>
            </w:r>
          </w:fldSimple>
        </w:p>
      </w:tc>
      <w:tc>
        <w:tcPr>
          <w:tcW w:w="1276" w:type="dxa"/>
        </w:tcPr>
        <w:p w:rsidR="009A1BAC" w:rsidRPr="009A1BAC" w:rsidRDefault="00F65EA0" w:rsidP="009A1BAC">
          <w:pPr>
            <w:pStyle w:val="En-tte"/>
            <w:rPr>
              <w:color w:val="215868" w:themeColor="accent5" w:themeShade="80"/>
              <w:sz w:val="24"/>
              <w:szCs w:val="24"/>
            </w:rPr>
          </w:pPr>
          <w:r>
            <w:rPr>
              <w:color w:val="215868" w:themeColor="accent5" w:themeShade="80"/>
              <w:sz w:val="24"/>
              <w:szCs w:val="24"/>
            </w:rPr>
            <w:fldChar w:fldCharType="begin"/>
          </w:r>
          <w:r w:rsidR="00842EDC">
            <w:rPr>
              <w:color w:val="215868" w:themeColor="accent5" w:themeShade="80"/>
              <w:sz w:val="24"/>
              <w:szCs w:val="24"/>
            </w:rPr>
            <w:instrText xml:space="preserve"> PRINTDATE  \@ "dd/MM/yy"  \* MERGEFORMAT </w:instrText>
          </w:r>
          <w:r>
            <w:rPr>
              <w:color w:val="215868" w:themeColor="accent5" w:themeShade="80"/>
              <w:sz w:val="24"/>
              <w:szCs w:val="24"/>
            </w:rPr>
            <w:fldChar w:fldCharType="separate"/>
          </w:r>
          <w:r w:rsidR="00E334E5">
            <w:rPr>
              <w:noProof/>
              <w:color w:val="215868" w:themeColor="accent5" w:themeShade="80"/>
              <w:sz w:val="24"/>
              <w:szCs w:val="24"/>
            </w:rPr>
            <w:t>27/02/18</w:t>
          </w:r>
          <w:r>
            <w:rPr>
              <w:color w:val="215868" w:themeColor="accent5" w:themeShade="80"/>
              <w:sz w:val="24"/>
              <w:szCs w:val="24"/>
            </w:rPr>
            <w:fldChar w:fldCharType="end"/>
          </w:r>
        </w:p>
      </w:tc>
      <w:tc>
        <w:tcPr>
          <w:tcW w:w="3544" w:type="dxa"/>
        </w:tcPr>
        <w:p w:rsidR="009A1BAC" w:rsidRPr="009A1BAC" w:rsidRDefault="009A1BAC" w:rsidP="001C5180">
          <w:pPr>
            <w:pStyle w:val="En-tte"/>
            <w:rPr>
              <w:color w:val="215868" w:themeColor="accent5" w:themeShade="80"/>
              <w:sz w:val="24"/>
              <w:szCs w:val="24"/>
              <w:u w:val="single"/>
            </w:rPr>
          </w:pPr>
          <w:r w:rsidRPr="009A1BAC">
            <w:rPr>
              <w:color w:val="215868" w:themeColor="accent5" w:themeShade="80"/>
              <w:sz w:val="24"/>
              <w:szCs w:val="24"/>
            </w:rPr>
            <w:t>BTS AMCR – FAŸS Villeurbanne</w:t>
          </w:r>
        </w:p>
      </w:tc>
      <w:tc>
        <w:tcPr>
          <w:tcW w:w="1449" w:type="dxa"/>
        </w:tcPr>
        <w:p w:rsidR="009A1BAC" w:rsidRPr="009A1BAC" w:rsidRDefault="009A1BAC" w:rsidP="001C5180">
          <w:pPr>
            <w:pStyle w:val="En-tte"/>
            <w:rPr>
              <w:color w:val="215868" w:themeColor="accent5" w:themeShade="80"/>
              <w:sz w:val="24"/>
              <w:szCs w:val="24"/>
            </w:rPr>
          </w:pPr>
          <w:r w:rsidRPr="009A1BAC">
            <w:rPr>
              <w:color w:val="215868" w:themeColor="accent5" w:themeShade="80"/>
              <w:sz w:val="24"/>
              <w:szCs w:val="24"/>
            </w:rPr>
            <w:t xml:space="preserve">Page </w:t>
          </w:r>
          <w:r w:rsidR="00F65EA0" w:rsidRPr="009A1BAC">
            <w:rPr>
              <w:color w:val="215868" w:themeColor="accent5" w:themeShade="80"/>
              <w:sz w:val="24"/>
              <w:szCs w:val="24"/>
            </w:rPr>
            <w:fldChar w:fldCharType="begin"/>
          </w:r>
          <w:r w:rsidRPr="009A1BAC">
            <w:rPr>
              <w:color w:val="215868" w:themeColor="accent5" w:themeShade="80"/>
              <w:sz w:val="24"/>
              <w:szCs w:val="24"/>
            </w:rPr>
            <w:instrText xml:space="preserve"> PAGE   \* MERGEFORMAT </w:instrText>
          </w:r>
          <w:r w:rsidR="00F65EA0" w:rsidRPr="009A1BAC">
            <w:rPr>
              <w:color w:val="215868" w:themeColor="accent5" w:themeShade="80"/>
              <w:sz w:val="24"/>
              <w:szCs w:val="24"/>
            </w:rPr>
            <w:fldChar w:fldCharType="separate"/>
          </w:r>
          <w:r w:rsidR="004B5F84">
            <w:rPr>
              <w:noProof/>
              <w:color w:val="215868" w:themeColor="accent5" w:themeShade="80"/>
              <w:sz w:val="24"/>
              <w:szCs w:val="24"/>
            </w:rPr>
            <w:t>5</w:t>
          </w:r>
          <w:r w:rsidR="00F65EA0" w:rsidRPr="009A1BAC">
            <w:rPr>
              <w:color w:val="215868" w:themeColor="accent5" w:themeShade="80"/>
              <w:sz w:val="24"/>
              <w:szCs w:val="24"/>
            </w:rPr>
            <w:fldChar w:fldCharType="end"/>
          </w:r>
          <w:r w:rsidRPr="009A1BAC">
            <w:rPr>
              <w:color w:val="215868" w:themeColor="accent5" w:themeShade="80"/>
              <w:sz w:val="24"/>
              <w:szCs w:val="24"/>
            </w:rPr>
            <w:t>/</w:t>
          </w:r>
          <w:fldSimple w:instr=" NUMPAGES   \* MERGEFORMAT ">
            <w:r w:rsidR="004B5F84" w:rsidRPr="004B5F84">
              <w:rPr>
                <w:noProof/>
                <w:color w:val="215868" w:themeColor="accent5" w:themeShade="80"/>
                <w:sz w:val="24"/>
                <w:szCs w:val="24"/>
              </w:rPr>
              <w:t>5</w:t>
            </w:r>
          </w:fldSimple>
        </w:p>
      </w:tc>
    </w:tr>
  </w:tbl>
  <w:p w:rsidR="00BF148E" w:rsidRPr="00D65E2A" w:rsidRDefault="00BF148E" w:rsidP="001C518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E9E" w:rsidRDefault="00BF3E9E" w:rsidP="001C5180">
      <w:r>
        <w:separator/>
      </w:r>
    </w:p>
  </w:footnote>
  <w:footnote w:type="continuationSeparator" w:id="0">
    <w:p w:rsidR="00BF3E9E" w:rsidRDefault="00BF3E9E" w:rsidP="001C51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10314" w:type="dxa"/>
      <w:tblBorders>
        <w:top w:val="none" w:sz="0" w:space="0" w:color="auto"/>
        <w:left w:val="none" w:sz="0" w:space="0" w:color="auto"/>
        <w:bottom w:val="single" w:sz="12" w:space="0" w:color="984806" w:themeColor="accent6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893"/>
      <w:gridCol w:w="1586"/>
      <w:gridCol w:w="2835"/>
    </w:tblGrid>
    <w:tr w:rsidR="00F05ECA" w:rsidRPr="009A1BAC" w:rsidTr="002E60D9">
      <w:tc>
        <w:tcPr>
          <w:tcW w:w="5893" w:type="dxa"/>
          <w:tcBorders>
            <w:bottom w:val="single" w:sz="12" w:space="0" w:color="984806" w:themeColor="accent6" w:themeShade="80"/>
          </w:tcBorders>
          <w:shd w:val="clear" w:color="auto" w:fill="DAEEF3" w:themeFill="accent5" w:themeFillTint="33"/>
          <w:vAlign w:val="bottom"/>
        </w:tcPr>
        <w:p w:rsidR="00F05ECA" w:rsidRPr="009A1BAC" w:rsidRDefault="00F65EA0" w:rsidP="002E60D9">
          <w:pPr>
            <w:pStyle w:val="En-tte"/>
            <w:rPr>
              <w:b/>
              <w:color w:val="215868" w:themeColor="accent5" w:themeShade="80"/>
              <w:sz w:val="28"/>
              <w:szCs w:val="28"/>
            </w:rPr>
          </w:pPr>
          <w:sdt>
            <w:sdtPr>
              <w:rPr>
                <w:b/>
                <w:color w:val="215868" w:themeColor="accent5" w:themeShade="80"/>
                <w:sz w:val="28"/>
                <w:szCs w:val="28"/>
              </w:rPr>
              <w:alias w:val="Titre"/>
              <w:id w:val="77887899"/>
              <w:placeholder>
                <w:docPart w:val="7E12ABAA41064292935170BCCDFBBFDB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F05ECA" w:rsidRPr="009A1BAC">
                <w:rPr>
                  <w:b/>
                  <w:color w:val="215868" w:themeColor="accent5" w:themeShade="80"/>
                  <w:sz w:val="28"/>
                  <w:szCs w:val="28"/>
                </w:rPr>
                <w:t>Conception d'assemblages avec PowerConnect</w:t>
              </w:r>
            </w:sdtContent>
          </w:sdt>
        </w:p>
      </w:tc>
      <w:tc>
        <w:tcPr>
          <w:tcW w:w="1586" w:type="dxa"/>
          <w:vAlign w:val="bottom"/>
        </w:tcPr>
        <w:p w:rsidR="00F05ECA" w:rsidRPr="00ED2571" w:rsidRDefault="002E60D9" w:rsidP="00C52AEC">
          <w:pPr>
            <w:pStyle w:val="En-tte"/>
            <w:rPr>
              <w:color w:val="215868" w:themeColor="accent5" w:themeShade="80"/>
              <w:sz w:val="24"/>
              <w:szCs w:val="24"/>
            </w:rPr>
          </w:pPr>
          <w:r>
            <w:rPr>
              <w:color w:val="215868" w:themeColor="accent5" w:themeShade="80"/>
              <w:sz w:val="24"/>
              <w:szCs w:val="24"/>
            </w:rPr>
            <w:t>V2017.rev</w:t>
          </w:r>
          <w:r w:rsidR="00C52AEC">
            <w:rPr>
              <w:color w:val="215868" w:themeColor="accent5" w:themeShade="80"/>
              <w:sz w:val="24"/>
              <w:szCs w:val="24"/>
            </w:rPr>
            <w:t>02</w:t>
          </w:r>
        </w:p>
      </w:tc>
      <w:tc>
        <w:tcPr>
          <w:tcW w:w="2835" w:type="dxa"/>
          <w:tcBorders>
            <w:bottom w:val="single" w:sz="12" w:space="0" w:color="984806" w:themeColor="accent6" w:themeShade="80"/>
          </w:tcBorders>
          <w:shd w:val="clear" w:color="auto" w:fill="DAEEF3" w:themeFill="accent5" w:themeFillTint="33"/>
          <w:vAlign w:val="bottom"/>
        </w:tcPr>
        <w:p w:rsidR="00F05ECA" w:rsidRPr="00ED2571" w:rsidRDefault="00F05ECA" w:rsidP="002E52A6">
          <w:pPr>
            <w:pStyle w:val="En-tte"/>
            <w:jc w:val="right"/>
            <w:rPr>
              <w:color w:val="215868" w:themeColor="accent5" w:themeShade="80"/>
              <w:sz w:val="24"/>
              <w:szCs w:val="24"/>
            </w:rPr>
          </w:pPr>
          <w:r w:rsidRPr="00ED2571">
            <w:rPr>
              <w:b/>
              <w:color w:val="215868" w:themeColor="accent5" w:themeShade="80"/>
              <w:sz w:val="28"/>
              <w:szCs w:val="28"/>
            </w:rPr>
            <w:t>Fiche de procédure</w:t>
          </w:r>
        </w:p>
      </w:tc>
    </w:tr>
  </w:tbl>
  <w:p w:rsidR="00ED2571" w:rsidRPr="002E52A6" w:rsidRDefault="00ED2571" w:rsidP="002E52A6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E8403A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F04AB5"/>
    <w:multiLevelType w:val="hybridMultilevel"/>
    <w:tmpl w:val="3DD0A0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0050B"/>
    <w:multiLevelType w:val="hybridMultilevel"/>
    <w:tmpl w:val="80A4BA62"/>
    <w:lvl w:ilvl="0" w:tplc="EC728656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751CF"/>
    <w:multiLevelType w:val="hybridMultilevel"/>
    <w:tmpl w:val="3DD0A0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E47BA"/>
    <w:multiLevelType w:val="hybridMultilevel"/>
    <w:tmpl w:val="DEAC28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63E93"/>
    <w:multiLevelType w:val="hybridMultilevel"/>
    <w:tmpl w:val="D4045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E660A"/>
    <w:multiLevelType w:val="hybridMultilevel"/>
    <w:tmpl w:val="D29408D4"/>
    <w:lvl w:ilvl="0" w:tplc="79D8E6BC">
      <w:start w:val="1"/>
      <w:numFmt w:val="upperLetter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33A1"/>
    <w:multiLevelType w:val="hybridMultilevel"/>
    <w:tmpl w:val="D61A5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C752A2"/>
    <w:multiLevelType w:val="hybridMultilevel"/>
    <w:tmpl w:val="D4045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00977"/>
    <w:multiLevelType w:val="hybridMultilevel"/>
    <w:tmpl w:val="A89CFF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454FA7"/>
    <w:multiLevelType w:val="hybridMultilevel"/>
    <w:tmpl w:val="F8380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982C9A"/>
    <w:multiLevelType w:val="hybridMultilevel"/>
    <w:tmpl w:val="3DD0A0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8"/>
  </w:num>
  <w:num w:numId="9">
    <w:abstractNumId w:val="5"/>
  </w:num>
  <w:num w:numId="10">
    <w:abstractNumId w:val="4"/>
  </w:num>
  <w:num w:numId="11">
    <w:abstractNumId w:val="7"/>
  </w:num>
  <w:num w:numId="12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5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5733"/>
    <w:rsid w:val="00004163"/>
    <w:rsid w:val="000177F6"/>
    <w:rsid w:val="000222B2"/>
    <w:rsid w:val="00023941"/>
    <w:rsid w:val="000312D5"/>
    <w:rsid w:val="00037CFA"/>
    <w:rsid w:val="00047B6E"/>
    <w:rsid w:val="0006093B"/>
    <w:rsid w:val="00066EC4"/>
    <w:rsid w:val="0007684A"/>
    <w:rsid w:val="000955C0"/>
    <w:rsid w:val="000A4ACC"/>
    <w:rsid w:val="000A717C"/>
    <w:rsid w:val="000B5F68"/>
    <w:rsid w:val="000C0CCF"/>
    <w:rsid w:val="000E0A93"/>
    <w:rsid w:val="000E73BD"/>
    <w:rsid w:val="000E7977"/>
    <w:rsid w:val="001013AE"/>
    <w:rsid w:val="00115065"/>
    <w:rsid w:val="00115A76"/>
    <w:rsid w:val="00115D4E"/>
    <w:rsid w:val="001167C5"/>
    <w:rsid w:val="00121113"/>
    <w:rsid w:val="00127BAA"/>
    <w:rsid w:val="00132602"/>
    <w:rsid w:val="00133C92"/>
    <w:rsid w:val="00135063"/>
    <w:rsid w:val="001404E2"/>
    <w:rsid w:val="001461A3"/>
    <w:rsid w:val="00150A53"/>
    <w:rsid w:val="00160B67"/>
    <w:rsid w:val="00161186"/>
    <w:rsid w:val="001659FA"/>
    <w:rsid w:val="00175CB1"/>
    <w:rsid w:val="00176681"/>
    <w:rsid w:val="00186680"/>
    <w:rsid w:val="001966EE"/>
    <w:rsid w:val="001A26F4"/>
    <w:rsid w:val="001A4E09"/>
    <w:rsid w:val="001B2EE0"/>
    <w:rsid w:val="001C230B"/>
    <w:rsid w:val="001C5180"/>
    <w:rsid w:val="001D17B6"/>
    <w:rsid w:val="001D1922"/>
    <w:rsid w:val="001D4484"/>
    <w:rsid w:val="001D6222"/>
    <w:rsid w:val="001E08C2"/>
    <w:rsid w:val="001E373C"/>
    <w:rsid w:val="001E5C24"/>
    <w:rsid w:val="001F6E33"/>
    <w:rsid w:val="002065B7"/>
    <w:rsid w:val="00210B17"/>
    <w:rsid w:val="0021618C"/>
    <w:rsid w:val="0022283B"/>
    <w:rsid w:val="00234B17"/>
    <w:rsid w:val="00255E3C"/>
    <w:rsid w:val="00257301"/>
    <w:rsid w:val="002616E6"/>
    <w:rsid w:val="00265653"/>
    <w:rsid w:val="00265EA1"/>
    <w:rsid w:val="002750B1"/>
    <w:rsid w:val="00286B1A"/>
    <w:rsid w:val="00287C29"/>
    <w:rsid w:val="002903E4"/>
    <w:rsid w:val="00296770"/>
    <w:rsid w:val="002D14B5"/>
    <w:rsid w:val="002E143E"/>
    <w:rsid w:val="002E52A6"/>
    <w:rsid w:val="002E60D9"/>
    <w:rsid w:val="002E7215"/>
    <w:rsid w:val="002F542B"/>
    <w:rsid w:val="002F6F1D"/>
    <w:rsid w:val="0030507B"/>
    <w:rsid w:val="0031044C"/>
    <w:rsid w:val="00315C29"/>
    <w:rsid w:val="00327C3E"/>
    <w:rsid w:val="00332DB0"/>
    <w:rsid w:val="00334ABB"/>
    <w:rsid w:val="0033739E"/>
    <w:rsid w:val="0035293C"/>
    <w:rsid w:val="003553ED"/>
    <w:rsid w:val="003557DF"/>
    <w:rsid w:val="00363D07"/>
    <w:rsid w:val="00366044"/>
    <w:rsid w:val="003952CF"/>
    <w:rsid w:val="003A015E"/>
    <w:rsid w:val="003B640C"/>
    <w:rsid w:val="003B6C64"/>
    <w:rsid w:val="003D6E18"/>
    <w:rsid w:val="003E0F6F"/>
    <w:rsid w:val="003E1CFC"/>
    <w:rsid w:val="003F1A07"/>
    <w:rsid w:val="003F5541"/>
    <w:rsid w:val="00415EF7"/>
    <w:rsid w:val="00420F8E"/>
    <w:rsid w:val="00440BDB"/>
    <w:rsid w:val="004434D1"/>
    <w:rsid w:val="00447BA7"/>
    <w:rsid w:val="00452D4B"/>
    <w:rsid w:val="00457FDB"/>
    <w:rsid w:val="00466D55"/>
    <w:rsid w:val="004736AA"/>
    <w:rsid w:val="00476D8E"/>
    <w:rsid w:val="00484691"/>
    <w:rsid w:val="00484950"/>
    <w:rsid w:val="00484F4E"/>
    <w:rsid w:val="004B322A"/>
    <w:rsid w:val="004B5F84"/>
    <w:rsid w:val="004B63BA"/>
    <w:rsid w:val="004B6D62"/>
    <w:rsid w:val="004C1314"/>
    <w:rsid w:val="004C38EE"/>
    <w:rsid w:val="004C6801"/>
    <w:rsid w:val="004D49DC"/>
    <w:rsid w:val="004D5DDE"/>
    <w:rsid w:val="004D69FD"/>
    <w:rsid w:val="004D79E1"/>
    <w:rsid w:val="004E1DB3"/>
    <w:rsid w:val="004E2BCA"/>
    <w:rsid w:val="004E3272"/>
    <w:rsid w:val="004E62A0"/>
    <w:rsid w:val="004F4179"/>
    <w:rsid w:val="004F73F2"/>
    <w:rsid w:val="005117CA"/>
    <w:rsid w:val="00515C8E"/>
    <w:rsid w:val="00522670"/>
    <w:rsid w:val="00524941"/>
    <w:rsid w:val="00525BB5"/>
    <w:rsid w:val="00526EC6"/>
    <w:rsid w:val="00534A82"/>
    <w:rsid w:val="00534AEE"/>
    <w:rsid w:val="00545DDD"/>
    <w:rsid w:val="00555EA2"/>
    <w:rsid w:val="0055742B"/>
    <w:rsid w:val="00557888"/>
    <w:rsid w:val="005628EE"/>
    <w:rsid w:val="005709DE"/>
    <w:rsid w:val="005801B5"/>
    <w:rsid w:val="005811BA"/>
    <w:rsid w:val="00586393"/>
    <w:rsid w:val="00587680"/>
    <w:rsid w:val="005914C8"/>
    <w:rsid w:val="0059411F"/>
    <w:rsid w:val="005A5EDD"/>
    <w:rsid w:val="005B1EE8"/>
    <w:rsid w:val="005B2EFE"/>
    <w:rsid w:val="005C3095"/>
    <w:rsid w:val="005C79C8"/>
    <w:rsid w:val="005D23EC"/>
    <w:rsid w:val="005D7737"/>
    <w:rsid w:val="005E34B8"/>
    <w:rsid w:val="005F08CF"/>
    <w:rsid w:val="005F543E"/>
    <w:rsid w:val="005F74CA"/>
    <w:rsid w:val="0060320D"/>
    <w:rsid w:val="00611F08"/>
    <w:rsid w:val="00612354"/>
    <w:rsid w:val="00632476"/>
    <w:rsid w:val="00635E66"/>
    <w:rsid w:val="00637FAA"/>
    <w:rsid w:val="0064149F"/>
    <w:rsid w:val="00651693"/>
    <w:rsid w:val="00654A76"/>
    <w:rsid w:val="0066005C"/>
    <w:rsid w:val="00661B23"/>
    <w:rsid w:val="0066612A"/>
    <w:rsid w:val="006672DF"/>
    <w:rsid w:val="006727BE"/>
    <w:rsid w:val="00675733"/>
    <w:rsid w:val="00676D01"/>
    <w:rsid w:val="00682C25"/>
    <w:rsid w:val="006901E1"/>
    <w:rsid w:val="0069628D"/>
    <w:rsid w:val="00697CA5"/>
    <w:rsid w:val="006A40B9"/>
    <w:rsid w:val="006A527E"/>
    <w:rsid w:val="006B2601"/>
    <w:rsid w:val="006E003E"/>
    <w:rsid w:val="006E1EED"/>
    <w:rsid w:val="006E3654"/>
    <w:rsid w:val="006F5F80"/>
    <w:rsid w:val="006F6C78"/>
    <w:rsid w:val="0070016F"/>
    <w:rsid w:val="00745E47"/>
    <w:rsid w:val="00762980"/>
    <w:rsid w:val="00765A9C"/>
    <w:rsid w:val="00770F75"/>
    <w:rsid w:val="007744CB"/>
    <w:rsid w:val="007776BD"/>
    <w:rsid w:val="00784489"/>
    <w:rsid w:val="00790E5F"/>
    <w:rsid w:val="007A2A9A"/>
    <w:rsid w:val="007A4D91"/>
    <w:rsid w:val="007A6406"/>
    <w:rsid w:val="007B5FB9"/>
    <w:rsid w:val="007D0D01"/>
    <w:rsid w:val="007D2908"/>
    <w:rsid w:val="007D4065"/>
    <w:rsid w:val="007E737A"/>
    <w:rsid w:val="007F5A95"/>
    <w:rsid w:val="007F7827"/>
    <w:rsid w:val="0080060E"/>
    <w:rsid w:val="00800D8C"/>
    <w:rsid w:val="00802583"/>
    <w:rsid w:val="00803C7E"/>
    <w:rsid w:val="00815F50"/>
    <w:rsid w:val="00821ED7"/>
    <w:rsid w:val="008318C8"/>
    <w:rsid w:val="00831C2F"/>
    <w:rsid w:val="008354D2"/>
    <w:rsid w:val="00836D97"/>
    <w:rsid w:val="00836D9B"/>
    <w:rsid w:val="0083733E"/>
    <w:rsid w:val="00842041"/>
    <w:rsid w:val="00842EDC"/>
    <w:rsid w:val="0084559E"/>
    <w:rsid w:val="008562A9"/>
    <w:rsid w:val="008562FB"/>
    <w:rsid w:val="00856892"/>
    <w:rsid w:val="0087208B"/>
    <w:rsid w:val="00872BB0"/>
    <w:rsid w:val="00877A01"/>
    <w:rsid w:val="008826FD"/>
    <w:rsid w:val="0088333C"/>
    <w:rsid w:val="0089281F"/>
    <w:rsid w:val="00895188"/>
    <w:rsid w:val="008B3C8A"/>
    <w:rsid w:val="008C2371"/>
    <w:rsid w:val="008D41D1"/>
    <w:rsid w:val="008D500D"/>
    <w:rsid w:val="008D5071"/>
    <w:rsid w:val="008D7CED"/>
    <w:rsid w:val="00903EF0"/>
    <w:rsid w:val="009108B8"/>
    <w:rsid w:val="00924DD3"/>
    <w:rsid w:val="0093214D"/>
    <w:rsid w:val="00932E06"/>
    <w:rsid w:val="009336E6"/>
    <w:rsid w:val="00937062"/>
    <w:rsid w:val="00944239"/>
    <w:rsid w:val="009457ED"/>
    <w:rsid w:val="00955AD6"/>
    <w:rsid w:val="009624A6"/>
    <w:rsid w:val="00967598"/>
    <w:rsid w:val="00980370"/>
    <w:rsid w:val="00980A76"/>
    <w:rsid w:val="00981082"/>
    <w:rsid w:val="00986CB8"/>
    <w:rsid w:val="00990D2B"/>
    <w:rsid w:val="0099241B"/>
    <w:rsid w:val="0099467B"/>
    <w:rsid w:val="00994E7C"/>
    <w:rsid w:val="00997CF6"/>
    <w:rsid w:val="009A1BAC"/>
    <w:rsid w:val="009A72A1"/>
    <w:rsid w:val="009C4A65"/>
    <w:rsid w:val="009D05BD"/>
    <w:rsid w:val="009D7696"/>
    <w:rsid w:val="009E1FAD"/>
    <w:rsid w:val="009E20D6"/>
    <w:rsid w:val="009E763C"/>
    <w:rsid w:val="009F203D"/>
    <w:rsid w:val="009F3B28"/>
    <w:rsid w:val="009F5A17"/>
    <w:rsid w:val="00A06CDE"/>
    <w:rsid w:val="00A12531"/>
    <w:rsid w:val="00A21B13"/>
    <w:rsid w:val="00A2307C"/>
    <w:rsid w:val="00A2711F"/>
    <w:rsid w:val="00A3623D"/>
    <w:rsid w:val="00A5195C"/>
    <w:rsid w:val="00A5533F"/>
    <w:rsid w:val="00A61099"/>
    <w:rsid w:val="00A64DB4"/>
    <w:rsid w:val="00A72152"/>
    <w:rsid w:val="00A92554"/>
    <w:rsid w:val="00A96624"/>
    <w:rsid w:val="00A9711C"/>
    <w:rsid w:val="00A9748E"/>
    <w:rsid w:val="00AA7D87"/>
    <w:rsid w:val="00AB1A25"/>
    <w:rsid w:val="00AB451E"/>
    <w:rsid w:val="00AB5DC9"/>
    <w:rsid w:val="00AC46D8"/>
    <w:rsid w:val="00AD11BA"/>
    <w:rsid w:val="00AD3897"/>
    <w:rsid w:val="00AD393A"/>
    <w:rsid w:val="00AE2FB3"/>
    <w:rsid w:val="00AF1FAA"/>
    <w:rsid w:val="00AF78CD"/>
    <w:rsid w:val="00B019AC"/>
    <w:rsid w:val="00B03C39"/>
    <w:rsid w:val="00B27459"/>
    <w:rsid w:val="00B27D9B"/>
    <w:rsid w:val="00B35EA5"/>
    <w:rsid w:val="00B40458"/>
    <w:rsid w:val="00B47D9C"/>
    <w:rsid w:val="00B500DA"/>
    <w:rsid w:val="00B53618"/>
    <w:rsid w:val="00B53CC7"/>
    <w:rsid w:val="00B55A7D"/>
    <w:rsid w:val="00B65A88"/>
    <w:rsid w:val="00B6774F"/>
    <w:rsid w:val="00B70467"/>
    <w:rsid w:val="00B70B92"/>
    <w:rsid w:val="00B82181"/>
    <w:rsid w:val="00B86DC4"/>
    <w:rsid w:val="00B926B2"/>
    <w:rsid w:val="00B92A83"/>
    <w:rsid w:val="00BA219F"/>
    <w:rsid w:val="00BA4B4E"/>
    <w:rsid w:val="00BB13FB"/>
    <w:rsid w:val="00BC0259"/>
    <w:rsid w:val="00BD14EC"/>
    <w:rsid w:val="00BD2DCD"/>
    <w:rsid w:val="00BD6260"/>
    <w:rsid w:val="00BE256B"/>
    <w:rsid w:val="00BF148E"/>
    <w:rsid w:val="00BF3E9E"/>
    <w:rsid w:val="00BF47DE"/>
    <w:rsid w:val="00C053EC"/>
    <w:rsid w:val="00C06EBC"/>
    <w:rsid w:val="00C11302"/>
    <w:rsid w:val="00C156FA"/>
    <w:rsid w:val="00C16C4E"/>
    <w:rsid w:val="00C16F51"/>
    <w:rsid w:val="00C22247"/>
    <w:rsid w:val="00C37754"/>
    <w:rsid w:val="00C52AEC"/>
    <w:rsid w:val="00C551EB"/>
    <w:rsid w:val="00C5715C"/>
    <w:rsid w:val="00C61199"/>
    <w:rsid w:val="00C642A6"/>
    <w:rsid w:val="00C974E0"/>
    <w:rsid w:val="00CA559B"/>
    <w:rsid w:val="00CB1302"/>
    <w:rsid w:val="00CB1A3A"/>
    <w:rsid w:val="00CB3B6B"/>
    <w:rsid w:val="00CB4A8C"/>
    <w:rsid w:val="00CB5C49"/>
    <w:rsid w:val="00CC066E"/>
    <w:rsid w:val="00CE4B7A"/>
    <w:rsid w:val="00CE5C14"/>
    <w:rsid w:val="00CF6849"/>
    <w:rsid w:val="00D011BB"/>
    <w:rsid w:val="00D03FA4"/>
    <w:rsid w:val="00D10038"/>
    <w:rsid w:val="00D20E65"/>
    <w:rsid w:val="00D2666C"/>
    <w:rsid w:val="00D453BC"/>
    <w:rsid w:val="00D50424"/>
    <w:rsid w:val="00D50F3A"/>
    <w:rsid w:val="00D55772"/>
    <w:rsid w:val="00D56F5E"/>
    <w:rsid w:val="00D65E2A"/>
    <w:rsid w:val="00D67DCC"/>
    <w:rsid w:val="00D8697D"/>
    <w:rsid w:val="00D86CAA"/>
    <w:rsid w:val="00D86D5B"/>
    <w:rsid w:val="00D95218"/>
    <w:rsid w:val="00D96190"/>
    <w:rsid w:val="00DA31C4"/>
    <w:rsid w:val="00DB54C8"/>
    <w:rsid w:val="00DC257B"/>
    <w:rsid w:val="00DC5BC6"/>
    <w:rsid w:val="00DD43F6"/>
    <w:rsid w:val="00DE471E"/>
    <w:rsid w:val="00DE76A1"/>
    <w:rsid w:val="00DF5098"/>
    <w:rsid w:val="00DF7F16"/>
    <w:rsid w:val="00E037D1"/>
    <w:rsid w:val="00E03C37"/>
    <w:rsid w:val="00E14D61"/>
    <w:rsid w:val="00E334E5"/>
    <w:rsid w:val="00E42D5E"/>
    <w:rsid w:val="00E47B48"/>
    <w:rsid w:val="00E53AF9"/>
    <w:rsid w:val="00E56990"/>
    <w:rsid w:val="00E67883"/>
    <w:rsid w:val="00E90766"/>
    <w:rsid w:val="00E935B8"/>
    <w:rsid w:val="00EB7FE2"/>
    <w:rsid w:val="00EC0FDE"/>
    <w:rsid w:val="00EC496C"/>
    <w:rsid w:val="00EC7E97"/>
    <w:rsid w:val="00ED09FA"/>
    <w:rsid w:val="00ED11A7"/>
    <w:rsid w:val="00ED2571"/>
    <w:rsid w:val="00ED32B2"/>
    <w:rsid w:val="00EE64C2"/>
    <w:rsid w:val="00EF099D"/>
    <w:rsid w:val="00EF4E76"/>
    <w:rsid w:val="00EF4EC1"/>
    <w:rsid w:val="00EF4EDE"/>
    <w:rsid w:val="00EF52D6"/>
    <w:rsid w:val="00F05ECA"/>
    <w:rsid w:val="00F171FF"/>
    <w:rsid w:val="00F2492C"/>
    <w:rsid w:val="00F44F6A"/>
    <w:rsid w:val="00F4528E"/>
    <w:rsid w:val="00F5265D"/>
    <w:rsid w:val="00F63543"/>
    <w:rsid w:val="00F65EA0"/>
    <w:rsid w:val="00F6714A"/>
    <w:rsid w:val="00F743A5"/>
    <w:rsid w:val="00F844BD"/>
    <w:rsid w:val="00F86AF8"/>
    <w:rsid w:val="00F8771D"/>
    <w:rsid w:val="00F93CFF"/>
    <w:rsid w:val="00FB3860"/>
    <w:rsid w:val="00FC5444"/>
    <w:rsid w:val="00FD285F"/>
    <w:rsid w:val="00FD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>
      <o:colormenu v:ext="edit" strokecolor="none [3212]"/>
    </o:shapedefaults>
    <o:shapelayout v:ext="edit">
      <o:idmap v:ext="edit" data="1"/>
      <o:rules v:ext="edit">
        <o:r id="V:Rule1" type="callout" idref="#_x0000_s1043"/>
        <o:r id="V:Rule2" type="callout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180"/>
    <w:pPr>
      <w:ind w:firstLine="0"/>
    </w:pPr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90766"/>
    <w:pPr>
      <w:numPr>
        <w:numId w:val="1"/>
      </w:numPr>
      <w:pBdr>
        <w:bottom w:val="single" w:sz="12" w:space="1" w:color="984806" w:themeColor="accent6" w:themeShade="80"/>
      </w:pBdr>
      <w:spacing w:before="240" w:after="120"/>
      <w:outlineLvl w:val="0"/>
    </w:pPr>
    <w:rPr>
      <w:rFonts w:ascii="Calibri" w:eastAsiaTheme="majorEastAsia" w:hAnsi="Calibri" w:cstheme="majorBidi"/>
      <w:b/>
      <w:bCs/>
      <w:i/>
      <w:color w:val="984806" w:themeColor="accent6" w:themeShade="80"/>
      <w:sz w:val="28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D32B2"/>
    <w:pPr>
      <w:pBdr>
        <w:bottom w:val="single" w:sz="8" w:space="1" w:color="984806" w:themeColor="accent6" w:themeShade="80"/>
      </w:pBdr>
      <w:spacing w:before="200" w:after="80"/>
      <w:outlineLvl w:val="1"/>
    </w:pPr>
    <w:rPr>
      <w:rFonts w:ascii="Calibri" w:eastAsiaTheme="majorEastAsia" w:hAnsi="Calibri" w:cstheme="majorBidi"/>
      <w:b/>
      <w:color w:val="984806" w:themeColor="accent6" w:themeShade="80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9241B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9241B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9241B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9241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9241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9241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9241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924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241B"/>
  </w:style>
  <w:style w:type="paragraph" w:styleId="Pieddepage">
    <w:name w:val="footer"/>
    <w:basedOn w:val="Normal"/>
    <w:link w:val="PieddepageCar"/>
    <w:uiPriority w:val="99"/>
    <w:unhideWhenUsed/>
    <w:rsid w:val="009924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241B"/>
  </w:style>
  <w:style w:type="character" w:customStyle="1" w:styleId="Titre1Car">
    <w:name w:val="Titre 1 Car"/>
    <w:basedOn w:val="Policepardfaut"/>
    <w:link w:val="Titre1"/>
    <w:uiPriority w:val="9"/>
    <w:rsid w:val="00E90766"/>
    <w:rPr>
      <w:rFonts w:ascii="Calibri" w:eastAsiaTheme="majorEastAsia" w:hAnsi="Calibri" w:cstheme="majorBidi"/>
      <w:b/>
      <w:bCs/>
      <w:i/>
      <w:color w:val="984806" w:themeColor="accent6" w:themeShade="80"/>
      <w:sz w:val="28"/>
      <w:szCs w:val="24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24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41B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ED32B2"/>
    <w:rPr>
      <w:rFonts w:ascii="Calibri" w:eastAsiaTheme="majorEastAsia" w:hAnsi="Calibri" w:cstheme="majorBidi"/>
      <w:b/>
      <w:color w:val="984806" w:themeColor="accent6" w:themeShade="80"/>
      <w:sz w:val="24"/>
      <w:szCs w:val="24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99241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99241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99241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semiHidden/>
    <w:rsid w:val="0099241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99241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9241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9241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9241B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90766"/>
    <w:pPr>
      <w:numPr>
        <w:numId w:val="3"/>
      </w:numPr>
      <w:jc w:val="center"/>
    </w:pPr>
    <w:rPr>
      <w:rFonts w:eastAsiaTheme="majorEastAsia" w:cstheme="minorHAnsi"/>
      <w:b/>
      <w:i/>
      <w:iCs/>
      <w:color w:val="984806" w:themeColor="accent6" w:themeShade="80"/>
      <w:sz w:val="44"/>
      <w:szCs w:val="48"/>
    </w:rPr>
  </w:style>
  <w:style w:type="character" w:customStyle="1" w:styleId="TitreCar">
    <w:name w:val="Titre Car"/>
    <w:basedOn w:val="Policepardfaut"/>
    <w:link w:val="Titre"/>
    <w:uiPriority w:val="10"/>
    <w:rsid w:val="00E90766"/>
    <w:rPr>
      <w:rFonts w:eastAsiaTheme="majorEastAsia" w:cstheme="minorHAnsi"/>
      <w:b/>
      <w:i/>
      <w:iCs/>
      <w:color w:val="984806" w:themeColor="accent6" w:themeShade="80"/>
      <w:sz w:val="44"/>
      <w:szCs w:val="48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241B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99241B"/>
    <w:rPr>
      <w:rFonts w:asciiTheme="minorHAnsi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DC5BC6"/>
    <w:rPr>
      <w:b/>
      <w:bCs/>
      <w:color w:val="244061" w:themeColor="accent1" w:themeShade="80"/>
      <w:sz w:val="36"/>
      <w:szCs w:val="36"/>
    </w:rPr>
  </w:style>
  <w:style w:type="character" w:styleId="Accentuation">
    <w:name w:val="Emphasis"/>
    <w:uiPriority w:val="20"/>
    <w:qFormat/>
    <w:rsid w:val="007744CB"/>
    <w:rPr>
      <w:b/>
      <w:bCs/>
      <w:i/>
      <w:iCs/>
      <w:color w:val="984806" w:themeColor="accent6" w:themeShade="80"/>
    </w:rPr>
  </w:style>
  <w:style w:type="paragraph" w:styleId="Sansinterligne">
    <w:name w:val="No Spacing"/>
    <w:basedOn w:val="Normal"/>
    <w:link w:val="SansinterligneCar"/>
    <w:uiPriority w:val="1"/>
    <w:qFormat/>
    <w:rsid w:val="0099241B"/>
  </w:style>
  <w:style w:type="character" w:customStyle="1" w:styleId="SansinterligneCar">
    <w:name w:val="Sans interligne Car"/>
    <w:basedOn w:val="Policepardfaut"/>
    <w:link w:val="Sansinterligne"/>
    <w:uiPriority w:val="1"/>
    <w:rsid w:val="0099241B"/>
  </w:style>
  <w:style w:type="paragraph" w:styleId="Paragraphedeliste">
    <w:name w:val="List Paragraph"/>
    <w:basedOn w:val="Normal"/>
    <w:uiPriority w:val="34"/>
    <w:qFormat/>
    <w:rsid w:val="0099241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9241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99241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241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9241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99241B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99241B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99241B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99241B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99241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9241B"/>
    <w:pPr>
      <w:outlineLvl w:val="9"/>
    </w:pPr>
  </w:style>
  <w:style w:type="table" w:styleId="Grilledutableau">
    <w:name w:val="Table Grid"/>
    <w:basedOn w:val="TableauNormal"/>
    <w:uiPriority w:val="59"/>
    <w:rsid w:val="00676D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utonrobot">
    <w:name w:val="bouton robot"/>
    <w:rsid w:val="00F93CFF"/>
    <w:rPr>
      <w:b/>
      <w:bCs/>
      <w:i/>
      <w:iCs/>
      <w:color w:val="FF0000"/>
    </w:rPr>
  </w:style>
  <w:style w:type="paragraph" w:styleId="Listenumros">
    <w:name w:val="List Number"/>
    <w:basedOn w:val="Normal"/>
    <w:uiPriority w:val="99"/>
    <w:unhideWhenUsed/>
    <w:rsid w:val="005709DE"/>
    <w:pPr>
      <w:numPr>
        <w:numId w:val="2"/>
      </w:numPr>
      <w:spacing w:before="120" w:after="240"/>
      <w:contextualSpacing/>
    </w:pPr>
  </w:style>
  <w:style w:type="character" w:styleId="Textedelespacerserv">
    <w:name w:val="Placeholder Text"/>
    <w:basedOn w:val="Policepardfaut"/>
    <w:uiPriority w:val="99"/>
    <w:semiHidden/>
    <w:rsid w:val="003A015E"/>
    <w:rPr>
      <w:color w:val="808080"/>
    </w:rPr>
  </w:style>
  <w:style w:type="paragraph" w:styleId="Listepuces">
    <w:name w:val="List Bullet"/>
    <w:basedOn w:val="Normal"/>
    <w:semiHidden/>
    <w:rsid w:val="00133C92"/>
    <w:pPr>
      <w:tabs>
        <w:tab w:val="num" w:pos="360"/>
      </w:tabs>
      <w:ind w:left="360" w:hanging="360"/>
    </w:pPr>
    <w:rPr>
      <w:rFonts w:ascii="Times New Roman" w:eastAsia="Times New Roman" w:hAnsi="Times New Roman" w:cs="Times New Roman"/>
      <w:sz w:val="24"/>
      <w:szCs w:val="24"/>
      <w:lang w:eastAsia="fr-FR" w:bidi="ar-SA"/>
    </w:rPr>
  </w:style>
  <w:style w:type="paragraph" w:customStyle="1" w:styleId="Tableau-titre">
    <w:name w:val="Tableau-titre"/>
    <w:basedOn w:val="Normal"/>
    <w:rsid w:val="00133C92"/>
    <w:pPr>
      <w:spacing w:after="120"/>
      <w:jc w:val="center"/>
    </w:pPr>
    <w:rPr>
      <w:rFonts w:ascii="Times New Roman" w:eastAsia="Times New Roman" w:hAnsi="Times New Roman" w:cs="Times New Roman"/>
      <w:b/>
      <w:lang w:eastAsia="fr-FR" w:bidi="ar-SA"/>
    </w:rPr>
  </w:style>
  <w:style w:type="paragraph" w:styleId="Corpsdetexte2">
    <w:name w:val="Body Text 2"/>
    <w:basedOn w:val="Normal"/>
    <w:link w:val="Corpsdetexte2Car"/>
    <w:rsid w:val="00023941"/>
    <w:pPr>
      <w:spacing w:after="120" w:line="480" w:lineRule="auto"/>
    </w:pPr>
    <w:rPr>
      <w:rFonts w:ascii="Georgia" w:eastAsia="Times New Roman" w:hAnsi="Georgia" w:cs="Times New Roman"/>
      <w:sz w:val="20"/>
      <w:szCs w:val="24"/>
      <w:lang w:eastAsia="fr-FR" w:bidi="ar-SA"/>
    </w:rPr>
  </w:style>
  <w:style w:type="character" w:customStyle="1" w:styleId="Corpsdetexte2Car">
    <w:name w:val="Corps de texte 2 Car"/>
    <w:basedOn w:val="Policepardfaut"/>
    <w:link w:val="Corpsdetexte2"/>
    <w:rsid w:val="00023941"/>
    <w:rPr>
      <w:rFonts w:ascii="Georgia" w:eastAsia="Times New Roman" w:hAnsi="Georgia" w:cs="Times New Roman"/>
      <w:sz w:val="20"/>
      <w:szCs w:val="24"/>
      <w:lang w:val="fr-FR" w:eastAsia="fr-FR" w:bidi="ar-SA"/>
    </w:rPr>
  </w:style>
  <w:style w:type="character" w:styleId="Lienhypertexte">
    <w:name w:val="Hyperlink"/>
    <w:basedOn w:val="Policepardfaut"/>
    <w:uiPriority w:val="99"/>
    <w:unhideWhenUsed/>
    <w:rsid w:val="00967598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15F5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duscol\PowerConnect\Eduscol%20PowerConnec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1B27FFD4EB43ACB6490AA8B1D8FE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6B06F3-3A46-406B-B015-60952257902A}"/>
      </w:docPartPr>
      <w:docPartBody>
        <w:p w:rsidR="00D15287" w:rsidRDefault="00DE73C3">
          <w:pPr>
            <w:pStyle w:val="131B27FFD4EB43ACB6490AA8B1D8FE4E"/>
          </w:pPr>
          <w:r w:rsidRPr="0022710D">
            <w:rPr>
              <w:rStyle w:val="Textedelespacerserv"/>
            </w:rPr>
            <w:t>[Objet ]</w:t>
          </w:r>
        </w:p>
      </w:docPartBody>
    </w:docPart>
    <w:docPart>
      <w:docPartPr>
        <w:name w:val="7E12ABAA41064292935170BCCDFBBF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B745CB-101D-48DF-A51C-D964B9F0FDF9}"/>
      </w:docPartPr>
      <w:docPartBody>
        <w:p w:rsidR="00D15287" w:rsidRDefault="00DE73C3">
          <w:pPr>
            <w:pStyle w:val="7E12ABAA41064292935170BCCDFBBFDB"/>
          </w:pPr>
          <w:r>
            <w:rPr>
              <w:b/>
              <w:bCs/>
              <w:color w:val="1F497D" w:themeColor="text2"/>
              <w:sz w:val="28"/>
              <w:szCs w:val="28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E73C3"/>
    <w:rsid w:val="000E3A23"/>
    <w:rsid w:val="002B4FA9"/>
    <w:rsid w:val="00377747"/>
    <w:rsid w:val="00471B39"/>
    <w:rsid w:val="0054329B"/>
    <w:rsid w:val="006446AB"/>
    <w:rsid w:val="00703D5E"/>
    <w:rsid w:val="008A7793"/>
    <w:rsid w:val="00AA2E5D"/>
    <w:rsid w:val="00B5283E"/>
    <w:rsid w:val="00B6566F"/>
    <w:rsid w:val="00BA1948"/>
    <w:rsid w:val="00BA4B24"/>
    <w:rsid w:val="00C802C4"/>
    <w:rsid w:val="00D15287"/>
    <w:rsid w:val="00DE73C3"/>
    <w:rsid w:val="00DF5E26"/>
    <w:rsid w:val="00FF0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2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15287"/>
    <w:rPr>
      <w:color w:val="808080"/>
    </w:rPr>
  </w:style>
  <w:style w:type="paragraph" w:customStyle="1" w:styleId="131B27FFD4EB43ACB6490AA8B1D8FE4E">
    <w:name w:val="131B27FFD4EB43ACB6490AA8B1D8FE4E"/>
    <w:rsid w:val="00D15287"/>
  </w:style>
  <w:style w:type="paragraph" w:customStyle="1" w:styleId="7E12ABAA41064292935170BCCDFBBFDB">
    <w:name w:val="7E12ABAA41064292935170BCCDFBBFDB"/>
    <w:rsid w:val="00D15287"/>
  </w:style>
  <w:style w:type="paragraph" w:customStyle="1" w:styleId="0670D2BCD45F4039876AF55AF2EC4A81">
    <w:name w:val="0670D2BCD45F4039876AF55AF2EC4A81"/>
    <w:rsid w:val="00471B3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D18E-CB1F-4E4F-8087-ED1E001D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Eduscol PowerConnect.dotx</Template>
  <TotalTime>3</TotalTime>
  <Pages>5</Pages>
  <Words>750</Words>
  <Characters>3536</Characters>
  <Application>Microsoft Office Word</Application>
  <DocSecurity>0</DocSecurity>
  <Lines>160</Lines>
  <Paragraphs>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Conception d'assemblages avec PowerConnect</vt:lpstr>
    </vt:vector>
  </TitlesOfParts>
  <Company>Lycee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Conception d'assemblages avec PowerConnect</dc:title>
  <dc:subject>Implantation des boulons</dc:subject>
  <dc:creator>JF</dc:creator>
  <cp:lastModifiedBy>Lycée Frederic Fays</cp:lastModifiedBy>
  <cp:revision>5</cp:revision>
  <cp:lastPrinted>2018-02-27T08:37:00Z</cp:lastPrinted>
  <dcterms:created xsi:type="dcterms:W3CDTF">2018-03-08T09:18:00Z</dcterms:created>
  <dcterms:modified xsi:type="dcterms:W3CDTF">2018-03-09T06:52:00Z</dcterms:modified>
</cp:coreProperties>
</file>