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1F" w:rsidRDefault="00C3021F"/>
    <w:p w:rsidR="006B366A" w:rsidRDefault="006B366A"/>
    <w:p w:rsidR="006B366A" w:rsidRDefault="006B366A"/>
    <w:p w:rsidR="006B366A" w:rsidRDefault="006B366A"/>
    <w:p w:rsidR="006B366A" w:rsidRPr="007B045A" w:rsidRDefault="006B366A" w:rsidP="006B366A">
      <w:pPr>
        <w:pStyle w:val="Corpsdetexte2"/>
        <w:rPr>
          <w:rFonts w:cs="Arial"/>
        </w:rPr>
      </w:pPr>
      <w:r w:rsidRPr="007B045A">
        <w:rPr>
          <w:rFonts w:cs="Arial"/>
        </w:rPr>
        <w:t>DEPARTEMENT DE M</w:t>
      </w:r>
      <w:r>
        <w:rPr>
          <w:rFonts w:cs="Arial"/>
        </w:rPr>
        <w:t>OSELLE</w:t>
      </w:r>
    </w:p>
    <w:p w:rsidR="006B366A" w:rsidRPr="007B045A" w:rsidRDefault="006B366A" w:rsidP="006B366A">
      <w:pPr>
        <w:rPr>
          <w:rFonts w:cs="Arial"/>
        </w:rPr>
      </w:pPr>
    </w:p>
    <w:p w:rsidR="006B366A" w:rsidRPr="007B045A" w:rsidRDefault="006B366A" w:rsidP="006B366A">
      <w:pPr>
        <w:pStyle w:val="Corpsdetexte2"/>
        <w:rPr>
          <w:rFonts w:cs="Arial"/>
        </w:rPr>
      </w:pPr>
      <w:r>
        <w:rPr>
          <w:rFonts w:cs="Arial"/>
        </w:rPr>
        <w:t>COMMUNE DE BREISTROFF</w:t>
      </w:r>
    </w:p>
    <w:p w:rsidR="006B366A" w:rsidRDefault="006B366A"/>
    <w:p w:rsidR="006B366A" w:rsidRDefault="006B366A">
      <w:r>
        <w:t>Lotissement du « </w:t>
      </w:r>
      <w:proofErr w:type="spellStart"/>
      <w:r>
        <w:t>Herrenfeld</w:t>
      </w:r>
      <w:proofErr w:type="spellEnd"/>
      <w:r>
        <w:t> </w:t>
      </w:r>
    </w:p>
    <w:p w:rsidR="006B366A" w:rsidRDefault="006B366A"/>
    <w:p w:rsidR="006B366A" w:rsidRDefault="006B366A" w:rsidP="006B366A">
      <w:pPr>
        <w:pStyle w:val="Index1"/>
      </w:pPr>
      <w:r>
        <w:t>ASSAINISSEMENT EAUX USEES</w:t>
      </w:r>
    </w:p>
    <w:p w:rsidR="006B366A" w:rsidRDefault="006B366A"/>
    <w:p w:rsidR="006B366A" w:rsidRDefault="006B366A"/>
    <w:p w:rsidR="006B366A" w:rsidRPr="00D2539D" w:rsidRDefault="006B366A" w:rsidP="006B366A">
      <w:pPr>
        <w:pStyle w:val="Corpsdetexte"/>
        <w:rPr>
          <w:i/>
          <w:u w:val="single"/>
        </w:rPr>
      </w:pPr>
      <w:bookmarkStart w:id="0" w:name="_Toc258410828"/>
      <w:r w:rsidRPr="00D2539D">
        <w:rPr>
          <w:i/>
          <w:u w:val="single"/>
        </w:rPr>
        <w:t>DESCRIPTIF</w:t>
      </w:r>
      <w:bookmarkEnd w:id="0"/>
    </w:p>
    <w:p w:rsidR="006B366A" w:rsidRDefault="006B366A"/>
    <w:p w:rsidR="006B366A" w:rsidRDefault="006B366A" w:rsidP="006B366A">
      <w:pPr>
        <w:pStyle w:val="Titre1"/>
        <w:keepNext/>
        <w:pBdr>
          <w:top w:val="single" w:sz="4" w:space="15" w:color="auto" w:shadow="1"/>
          <w:left w:val="single" w:sz="4" w:space="4" w:color="auto" w:shadow="1"/>
          <w:bottom w:val="single" w:sz="4" w:space="15" w:color="auto" w:shadow="1"/>
          <w:right w:val="single" w:sz="4" w:space="4" w:color="auto" w:shadow="1"/>
        </w:pBdr>
        <w:spacing w:before="0" w:line="240" w:lineRule="auto"/>
        <w:ind w:left="397" w:hanging="397"/>
        <w:jc w:val="center"/>
      </w:pPr>
      <w:bookmarkStart w:id="1" w:name="_Toc1895391"/>
      <w:bookmarkStart w:id="2" w:name="_Toc64794029"/>
      <w:bookmarkStart w:id="3" w:name="_Toc64794063"/>
      <w:bookmarkStart w:id="4" w:name="_Toc323306017"/>
      <w:r>
        <w:t>GENERALITES ET DESCRIPTION DES OUVRAGES</w:t>
      </w:r>
      <w:bookmarkEnd w:id="1"/>
      <w:bookmarkEnd w:id="2"/>
      <w:bookmarkEnd w:id="3"/>
      <w:bookmarkEnd w:id="4"/>
    </w:p>
    <w:p w:rsidR="006B366A" w:rsidRDefault="006B366A"/>
    <w:p w:rsidR="006B366A" w:rsidRDefault="006B366A"/>
    <w:p w:rsidR="006B366A" w:rsidRDefault="006B366A"/>
    <w:p w:rsidR="006B366A" w:rsidRDefault="006B366A" w:rsidP="006B366A">
      <w:pPr>
        <w:pStyle w:val="Titre2"/>
      </w:pPr>
      <w:bookmarkStart w:id="5" w:name="_Toc1895392"/>
      <w:bookmarkStart w:id="6" w:name="_Toc64794064"/>
      <w:bookmarkStart w:id="7" w:name="_Toc323306018"/>
      <w:r>
        <w:t>OBJET</w:t>
      </w:r>
      <w:bookmarkEnd w:id="5"/>
      <w:bookmarkEnd w:id="6"/>
      <w:bookmarkEnd w:id="7"/>
    </w:p>
    <w:p w:rsidR="006B366A" w:rsidRDefault="006B366A" w:rsidP="006B366A">
      <w:r>
        <w:t>Le présent devis descriptif s</w:t>
      </w:r>
      <w:smartTag w:uri="urn:schemas-microsoft-com:office:smarttags" w:element="PersonName">
        <w:r>
          <w:t>'</w:t>
        </w:r>
      </w:smartTag>
      <w:r>
        <w:t>applique à la réalisation des travaux d’ASSAINISSEMENT EAUX USEES du lotissement du « </w:t>
      </w:r>
      <w:proofErr w:type="spellStart"/>
      <w:r>
        <w:t>Herrenfeld</w:t>
      </w:r>
      <w:proofErr w:type="spellEnd"/>
      <w:r>
        <w:t xml:space="preserve"> », implanté sur la Commune de </w:t>
      </w:r>
      <w:proofErr w:type="spellStart"/>
      <w:r>
        <w:t>Breistroff</w:t>
      </w:r>
      <w:proofErr w:type="spellEnd"/>
      <w:r>
        <w:t xml:space="preserve"> dans le département de la MOSELLE.</w:t>
      </w:r>
    </w:p>
    <w:p w:rsidR="006B366A" w:rsidRDefault="006B366A" w:rsidP="006B366A"/>
    <w:p w:rsidR="006B366A" w:rsidRDefault="006B366A" w:rsidP="006B366A"/>
    <w:p w:rsidR="006B366A" w:rsidRDefault="006B366A" w:rsidP="006B366A">
      <w:smartTag w:uri="urn:schemas-microsoft-com:office:smarttags" w:element="PersonName">
        <w:smartTagPr>
          <w:attr w:name="ProductID" w:val="La SOCIETE EUROPEAN HOMES"/>
        </w:smartTagPr>
        <w:smartTag w:uri="urn:schemas-microsoft-com:office:smarttags" w:element="PersonName">
          <w:smartTagPr>
            <w:attr w:name="ProductID" w:val="La SOCIETE EUROPEAN"/>
          </w:smartTagPr>
          <w:r>
            <w:t>La SOCIETE EUROPEAN</w:t>
          </w:r>
        </w:smartTag>
        <w:r>
          <w:t xml:space="preserve"> HOMES</w:t>
        </w:r>
      </w:smartTag>
      <w:r>
        <w:t xml:space="preserve"> France sera désignée dans ce qui suit par </w:t>
      </w:r>
      <w:smartTag w:uri="urn:schemas-microsoft-com:office:smarttags" w:element="PersonName">
        <w:smartTagPr>
          <w:attr w:name="ProductID" w:val="la &quot;Soci￩t￩"/>
        </w:smartTagPr>
        <w:r>
          <w:t>la "Société</w:t>
        </w:r>
      </w:smartTag>
      <w:r>
        <w:t>".</w:t>
      </w:r>
    </w:p>
    <w:p w:rsidR="006B366A" w:rsidRDefault="006B366A" w:rsidP="006B366A">
      <w:pPr>
        <w:pStyle w:val="Titre2"/>
      </w:pPr>
      <w:bookmarkStart w:id="8" w:name="_Toc1895393"/>
      <w:bookmarkStart w:id="9" w:name="_Toc64794065"/>
      <w:bookmarkStart w:id="10" w:name="_Toc323306019"/>
      <w:r>
        <w:t>NOMENCLATURE DES TRAVAUX</w:t>
      </w:r>
      <w:bookmarkEnd w:id="8"/>
      <w:bookmarkEnd w:id="9"/>
      <w:bookmarkEnd w:id="10"/>
    </w:p>
    <w:p w:rsidR="006B366A" w:rsidRDefault="006B366A" w:rsidP="006B366A">
      <w:r>
        <w:t>L</w:t>
      </w:r>
      <w:smartTag w:uri="urn:schemas-microsoft-com:office:smarttags" w:element="PersonName">
        <w:r>
          <w:t>'</w:t>
        </w:r>
      </w:smartTag>
      <w:r>
        <w:t>entreprise comprend :</w:t>
      </w:r>
    </w:p>
    <w:p w:rsidR="006B366A" w:rsidRDefault="006B366A" w:rsidP="006B366A"/>
    <w:p w:rsidR="006B366A" w:rsidRDefault="006B366A" w:rsidP="006B366A">
      <w:pPr>
        <w:pStyle w:val="Listepuces"/>
      </w:pPr>
      <w:r>
        <w:t>Les études d’exécution.</w:t>
      </w:r>
    </w:p>
    <w:p w:rsidR="006B366A" w:rsidRDefault="006B366A" w:rsidP="006B366A">
      <w:pPr>
        <w:pStyle w:val="Listepuces"/>
      </w:pPr>
      <w:r>
        <w:t>L</w:t>
      </w:r>
      <w:smartTag w:uri="urn:schemas-microsoft-com:office:smarttags" w:element="PersonName">
        <w:r>
          <w:t>'</w:t>
        </w:r>
      </w:smartTag>
      <w:r>
        <w:t xml:space="preserve">exécution des fouilles conforme à </w:t>
      </w:r>
      <w:smartTag w:uri="urn:schemas-microsoft-com:office:smarttags" w:element="PersonName">
        <w:smartTagPr>
          <w:attr w:name="ProductID" w:val="la norme NFP"/>
        </w:smartTagPr>
        <w:r>
          <w:t>la norme NFP</w:t>
        </w:r>
      </w:smartTag>
      <w:r>
        <w:t xml:space="preserve"> 98-331 y compris tous étaiements, blindage et épuisement quelles que soient l</w:t>
      </w:r>
      <w:smartTag w:uri="urn:schemas-microsoft-com:office:smarttags" w:element="PersonName">
        <w:r>
          <w:t>'</w:t>
        </w:r>
      </w:smartTag>
      <w:r>
        <w:t>importance et la nature pour les canalisations et les ouvrages annexes ainsi que pour les branchements.</w:t>
      </w:r>
    </w:p>
    <w:p w:rsidR="00C81213" w:rsidRDefault="00C81213" w:rsidP="006B366A">
      <w:pPr>
        <w:pStyle w:val="Listepuces"/>
      </w:pPr>
      <w:r>
        <w:t xml:space="preserve">Profondeur  minimum du fil d'eau :moins 2 mètres / TN </w:t>
      </w:r>
    </w:p>
    <w:p w:rsidR="006B366A" w:rsidRDefault="006B366A" w:rsidP="006B366A">
      <w:pPr>
        <w:pStyle w:val="Listepuces"/>
      </w:pPr>
      <w:r>
        <w:t>Le branchement privatif en PVC diamètre 125 extérieur depuis le pavillon jusqu</w:t>
      </w:r>
      <w:smartTag w:uri="urn:schemas-microsoft-com:office:smarttags" w:element="PersonName">
        <w:r>
          <w:t>'</w:t>
        </w:r>
      </w:smartTag>
      <w:r>
        <w:t>à la boite de branchement située en limite de propriété.</w:t>
      </w:r>
    </w:p>
    <w:p w:rsidR="006B366A" w:rsidRDefault="006B366A" w:rsidP="006B366A">
      <w:pPr>
        <w:pStyle w:val="Listepuces"/>
      </w:pPr>
      <w:r>
        <w:t xml:space="preserve">La fourniture et la pose des canalisations diamètre </w:t>
      </w:r>
      <w:smartTag w:uri="urn:schemas-microsoft-com:office:smarttags" w:element="metricconverter">
        <w:smartTagPr>
          <w:attr w:name="ProductID" w:val="125 mm"/>
        </w:smartTagPr>
        <w:r>
          <w:t>125 mm</w:t>
        </w:r>
      </w:smartTag>
      <w:r>
        <w:t xml:space="preserve"> en PVC série CR8 pour le branchement public depuis la conduite principale jusqu</w:t>
      </w:r>
      <w:smartTag w:uri="urn:schemas-microsoft-com:office:smarttags" w:element="PersonName">
        <w:r>
          <w:t>'</w:t>
        </w:r>
      </w:smartTag>
      <w:r>
        <w:t>à la boite de branchement.</w:t>
      </w:r>
    </w:p>
    <w:p w:rsidR="006B366A" w:rsidRDefault="006B366A" w:rsidP="006B366A">
      <w:pPr>
        <w:pStyle w:val="Listepuces"/>
      </w:pPr>
      <w:r>
        <w:t xml:space="preserve">La fourniture et la pose des canalisations diamètre </w:t>
      </w:r>
      <w:smartTag w:uri="urn:schemas-microsoft-com:office:smarttags" w:element="metricconverter">
        <w:smartTagPr>
          <w:attr w:name="ProductID" w:val="200 mm"/>
        </w:smartTagPr>
        <w:r>
          <w:t>200 mm</w:t>
        </w:r>
      </w:smartTag>
      <w:r>
        <w:t xml:space="preserve"> pour le réseau principal en PVC série CR8.</w:t>
      </w:r>
    </w:p>
    <w:p w:rsidR="006B366A" w:rsidRDefault="006B366A" w:rsidP="006B366A">
      <w:pPr>
        <w:pStyle w:val="Listepuces"/>
      </w:pPr>
      <w:r>
        <w:lastRenderedPageBreak/>
        <w:t>La construction et l</w:t>
      </w:r>
      <w:smartTag w:uri="urn:schemas-microsoft-com:office:smarttags" w:element="PersonName">
        <w:r>
          <w:t>'</w:t>
        </w:r>
      </w:smartTag>
      <w:r>
        <w:t>équipement des regards type et des ouvrages annexes.</w:t>
      </w:r>
    </w:p>
    <w:p w:rsidR="006B366A" w:rsidRDefault="006B366A" w:rsidP="006B366A">
      <w:pPr>
        <w:pStyle w:val="Listepuces"/>
      </w:pPr>
      <w:r>
        <w:t>La fourniture et pose de culotte de branchement.</w:t>
      </w:r>
    </w:p>
    <w:p w:rsidR="006B366A" w:rsidRDefault="006B366A" w:rsidP="006B366A">
      <w:pPr>
        <w:pStyle w:val="Listepuces"/>
      </w:pPr>
      <w:r>
        <w:t xml:space="preserve">Le remblaiement des fouilles et la remise en état des lieux conformément à </w:t>
      </w:r>
      <w:smartTag w:uri="urn:schemas-microsoft-com:office:smarttags" w:element="PersonName">
        <w:smartTagPr>
          <w:attr w:name="ProductID" w:val="la norme NFP"/>
        </w:smartTagPr>
        <w:r>
          <w:t>la norme NFP</w:t>
        </w:r>
      </w:smartTag>
      <w:r>
        <w:t xml:space="preserve"> 98-331.</w:t>
      </w:r>
    </w:p>
    <w:p w:rsidR="006B366A" w:rsidRDefault="006B366A" w:rsidP="006B366A">
      <w:pPr>
        <w:pStyle w:val="Listepuces"/>
      </w:pPr>
      <w:r>
        <w:t>Le transport aux lieux de dépôt ou à la décharge de l</w:t>
      </w:r>
      <w:smartTag w:uri="urn:schemas-microsoft-com:office:smarttags" w:element="PersonName">
        <w:r>
          <w:t>'</w:t>
        </w:r>
      </w:smartTag>
      <w:r>
        <w:t>entreprise des matériaux en excédent ou impropres au remblaiement des tranchées ou éventuellement leur réglage à proximité des lieux des travaux.</w:t>
      </w:r>
    </w:p>
    <w:p w:rsidR="006B366A" w:rsidRDefault="006B366A" w:rsidP="006B366A">
      <w:r>
        <w:t>L</w:t>
      </w:r>
      <w:smartTag w:uri="urn:schemas-microsoft-com:office:smarttags" w:element="PersonName">
        <w:r>
          <w:t>'</w:t>
        </w:r>
      </w:smartTag>
      <w:r>
        <w:t xml:space="preserve">ensemble des ouvrages étant conforme aux spécifications et aux normes, annexes techniques particulières des </w:t>
      </w:r>
      <w:smartTag w:uri="urn:schemas-microsoft-com:office:smarttags" w:element="PersonName">
        <w:smartTagPr>
          <w:attr w:name="ProductID" w:val="Services Techniques de"/>
        </w:smartTagPr>
        <w:r>
          <w:t>Services Techniques de</w:t>
        </w:r>
      </w:smartTag>
      <w:r>
        <w:t xml:space="preserve"> Commune.</w:t>
      </w:r>
    </w:p>
    <w:p w:rsidR="006B366A" w:rsidRDefault="006B366A" w:rsidP="006B366A">
      <w:pPr>
        <w:pStyle w:val="Titre2"/>
      </w:pPr>
      <w:bookmarkStart w:id="11" w:name="_Toc1895394"/>
      <w:bookmarkStart w:id="12" w:name="_Toc64794066"/>
      <w:bookmarkStart w:id="13" w:name="_Toc323306020"/>
      <w:r>
        <w:t>DESCRIPTION DES OUVRAGES</w:t>
      </w:r>
      <w:bookmarkEnd w:id="11"/>
      <w:bookmarkEnd w:id="12"/>
      <w:bookmarkEnd w:id="13"/>
    </w:p>
    <w:p w:rsidR="006B366A" w:rsidRDefault="006B366A" w:rsidP="006B366A">
      <w:r>
        <w:t>Les ouvrages à établir comprennent :</w:t>
      </w:r>
    </w:p>
    <w:p w:rsidR="006B366A" w:rsidRDefault="006B366A" w:rsidP="006B366A"/>
    <w:p w:rsidR="006B366A" w:rsidRDefault="006B366A" w:rsidP="006B366A">
      <w:pPr>
        <w:pStyle w:val="Listepuces"/>
      </w:pPr>
      <w:r>
        <w:t xml:space="preserve">Des canalisations circulaires de </w:t>
      </w:r>
      <w:smartTag w:uri="urn:schemas-microsoft-com:office:smarttags" w:element="metricconverter">
        <w:smartTagPr>
          <w:attr w:name="ProductID" w:val="200 mm"/>
        </w:smartTagPr>
        <w:r>
          <w:t>200 mm</w:t>
        </w:r>
      </w:smartTag>
      <w:r>
        <w:t xml:space="preserve"> de diamètre intérieur en PVC série CR8 à joint caoutchouc.</w:t>
      </w:r>
    </w:p>
    <w:p w:rsidR="006B366A" w:rsidRDefault="006B366A" w:rsidP="006B366A">
      <w:pPr>
        <w:pStyle w:val="Listepuces"/>
      </w:pPr>
      <w:r>
        <w:t xml:space="preserve">Des branchements publics de </w:t>
      </w:r>
      <w:smartTag w:uri="urn:schemas-microsoft-com:office:smarttags" w:element="metricconverter">
        <w:smartTagPr>
          <w:attr w:name="ProductID" w:val="125 mm"/>
        </w:smartTagPr>
        <w:r>
          <w:t>125 mm</w:t>
        </w:r>
      </w:smartTag>
      <w:r>
        <w:t xml:space="preserve"> de diamètre intérieur en PVC série CR8 identique au réseau y compris les raccordements sur la conduite principale par culotte et la boîte de branchement.</w:t>
      </w:r>
    </w:p>
    <w:p w:rsidR="006B366A" w:rsidRDefault="006B366A" w:rsidP="006B366A">
      <w:pPr>
        <w:pStyle w:val="Listepuces"/>
      </w:pPr>
      <w:r>
        <w:t xml:space="preserve">Des branchements privatifs de diamètre </w:t>
      </w:r>
      <w:smartTag w:uri="urn:schemas-microsoft-com:office:smarttags" w:element="metricconverter">
        <w:smartTagPr>
          <w:attr w:name="ProductID" w:val="125 mm"/>
        </w:smartTagPr>
        <w:r>
          <w:t>125 mm</w:t>
        </w:r>
      </w:smartTag>
      <w:r>
        <w:t xml:space="preserve"> de diamètre intérieur en polychlorure de vinyle série CR 8.</w:t>
      </w:r>
    </w:p>
    <w:p w:rsidR="006B366A" w:rsidRDefault="006B366A" w:rsidP="006B366A">
      <w:pPr>
        <w:pStyle w:val="Listepuces"/>
      </w:pPr>
      <w:r>
        <w:t>Les raccordements et la liaison de la sortie du bâtiment, à la boîte de branchement situé sous domaine public en limite de propriété.</w:t>
      </w:r>
    </w:p>
    <w:p w:rsidR="006B366A" w:rsidRDefault="006B366A" w:rsidP="006B366A">
      <w:pPr>
        <w:pStyle w:val="Listepuces"/>
      </w:pPr>
      <w:r>
        <w:t xml:space="preserve">Des regards de visite type Ville de diamètre </w:t>
      </w:r>
      <w:smartTag w:uri="urn:schemas-microsoft-com:office:smarttags" w:element="metricconverter">
        <w:smartTagPr>
          <w:attr w:name="ProductID" w:val="1000 mm"/>
        </w:smartTagPr>
        <w:r>
          <w:t>1000 mm</w:t>
        </w:r>
      </w:smartTag>
      <w:r>
        <w:t xml:space="preserve"> tampon fonte de PAMREX ou R</w:t>
      </w:r>
      <w:smartTag w:uri="urn:schemas-microsoft-com:office:smarttags" w:element="PersonName">
        <w:r>
          <w:t>EXE</w:t>
        </w:r>
      </w:smartTag>
      <w:r>
        <w:t xml:space="preserve">L ou similaire agréé par les </w:t>
      </w:r>
      <w:smartTag w:uri="urn:schemas-microsoft-com:office:smarttags" w:element="PersonName">
        <w:smartTagPr>
          <w:attr w:name="ProductID" w:val="Services Techniques de"/>
        </w:smartTagPr>
        <w:r>
          <w:t>Services Techniques de</w:t>
        </w:r>
      </w:smartTag>
      <w:r>
        <w:t xml:space="preserve"> </w:t>
      </w:r>
      <w:smartTag w:uri="urn:schemas-microsoft-com:office:smarttags" w:element="PersonName">
        <w:smartTagPr>
          <w:attr w:name="ProductID" w:val="la Ville"/>
        </w:smartTagPr>
        <w:r>
          <w:t>la Ville</w:t>
        </w:r>
      </w:smartTag>
      <w:r>
        <w:t xml:space="preserve"> et de ses mandataires.</w:t>
      </w:r>
    </w:p>
    <w:p w:rsidR="006B366A" w:rsidRDefault="006B366A" w:rsidP="006B366A">
      <w:pPr>
        <w:pStyle w:val="Listepuces"/>
      </w:pPr>
      <w:r>
        <w:t xml:space="preserve">Des boîtes de branchement type agréées par le Service Technique de la ville diamètre </w:t>
      </w:r>
      <w:smartTag w:uri="urn:schemas-microsoft-com:office:smarttags" w:element="metricconverter">
        <w:smartTagPr>
          <w:attr w:name="ProductID" w:val="400 mm"/>
        </w:smartTagPr>
        <w:r>
          <w:t>400 mm</w:t>
        </w:r>
      </w:smartTag>
      <w:r>
        <w:t xml:space="preserve"> ou 0,40 x </w:t>
      </w:r>
      <w:smartTag w:uri="urn:schemas-microsoft-com:office:smarttags" w:element="metricconverter">
        <w:smartTagPr>
          <w:attr w:name="ProductID" w:val="0,40 mm"/>
        </w:smartTagPr>
        <w:r>
          <w:t>0,40 mm</w:t>
        </w:r>
      </w:smartTag>
      <w:r>
        <w:t xml:space="preserve"> munis de tampons fonte série B 125 à fermeture hydraulique.</w:t>
      </w:r>
    </w:p>
    <w:p w:rsidR="006B366A" w:rsidRDefault="006B366A" w:rsidP="006B366A">
      <w:pPr>
        <w:pStyle w:val="Listepuces"/>
      </w:pPr>
      <w:r>
        <w:t>Les raccordements sur les réseaux existants.</w:t>
      </w:r>
    </w:p>
    <w:p w:rsidR="006B366A" w:rsidRDefault="006B366A" w:rsidP="006B366A">
      <w:pPr>
        <w:pStyle w:val="Titre2"/>
      </w:pPr>
      <w:bookmarkStart w:id="14" w:name="_Toc1895395"/>
      <w:bookmarkStart w:id="15" w:name="_Toc64794067"/>
      <w:bookmarkStart w:id="16" w:name="_Toc323306021"/>
      <w:r>
        <w:t>OBLIGATIONS</w:t>
      </w:r>
      <w:bookmarkEnd w:id="14"/>
      <w:bookmarkEnd w:id="15"/>
      <w:bookmarkEnd w:id="16"/>
    </w:p>
    <w:p w:rsidR="006B366A" w:rsidRDefault="006B366A" w:rsidP="006B366A">
      <w:r>
        <w:t>L</w:t>
      </w:r>
      <w:smartTag w:uri="urn:schemas-microsoft-com:office:smarttags" w:element="PersonName">
        <w:r>
          <w:t>'</w:t>
        </w:r>
      </w:smartTag>
      <w:r>
        <w:t>attention de l</w:t>
      </w:r>
      <w:smartTag w:uri="urn:schemas-microsoft-com:office:smarttags" w:element="PersonName">
        <w:r>
          <w:t>'</w:t>
        </w:r>
      </w:smartTag>
      <w:r>
        <w:t>entrepreneur du présent lot est attirée sur le fait qu</w:t>
      </w:r>
      <w:smartTag w:uri="urn:schemas-microsoft-com:office:smarttags" w:element="PersonName">
        <w:r>
          <w:t>'</w:t>
        </w:r>
      </w:smartTag>
      <w:r>
        <w:t xml:space="preserve">il devra réaliser ces travaux et mettre en place du matériel agréé et conforme aux spécifications des normes en vigueur aux </w:t>
      </w:r>
      <w:smartTag w:uri="urn:schemas-microsoft-com:office:smarttags" w:element="PersonName">
        <w:smartTagPr>
          <w:attr w:name="ProductID" w:val="Services Techniques de"/>
        </w:smartTagPr>
        <w:r>
          <w:t>Services Techniques de</w:t>
        </w:r>
      </w:smartTag>
      <w:r>
        <w:t xml:space="preserve"> </w:t>
      </w:r>
      <w:smartTag w:uri="urn:schemas-microsoft-com:office:smarttags" w:element="PersonName">
        <w:smartTagPr>
          <w:attr w:name="ProductID" w:val="la Commune"/>
        </w:smartTagPr>
        <w:r>
          <w:t>la Commune</w:t>
        </w:r>
      </w:smartTag>
      <w:r>
        <w:t xml:space="preserve"> et de ses mandataires ainsi qu</w:t>
      </w:r>
      <w:smartTag w:uri="urn:schemas-microsoft-com:office:smarttags" w:element="PersonName">
        <w:r>
          <w:t>'</w:t>
        </w:r>
      </w:smartTag>
      <w:r>
        <w:t>au Cahier des Clauses Techniques Générales, applicable aux marchés de travaux publics passés au nom de l</w:t>
      </w:r>
      <w:smartTag w:uri="urn:schemas-microsoft-com:office:smarttags" w:element="PersonName">
        <w:r>
          <w:t>'</w:t>
        </w:r>
      </w:smartTag>
      <w:r>
        <w:t>état (fascicule 70 - 79 - 11 bis).</w:t>
      </w:r>
    </w:p>
    <w:p w:rsidR="006B366A" w:rsidRDefault="006B366A" w:rsidP="006B366A"/>
    <w:p w:rsidR="006B366A" w:rsidRDefault="006B366A" w:rsidP="006B366A">
      <w:r>
        <w:t xml:space="preserve">Le cahier de prescriptions </w:t>
      </w:r>
      <w:smartTag w:uri="urn:schemas-microsoft-com:office:smarttags" w:element="PersonName">
        <w:smartTagPr>
          <w:attr w:name="ProductID" w:val="techniques Services"/>
        </w:smartTagPr>
        <w:r>
          <w:t>techniques Services</w:t>
        </w:r>
      </w:smartTag>
      <w:r>
        <w:t xml:space="preserve"> Réseaux d</w:t>
      </w:r>
      <w:smartTag w:uri="urn:schemas-microsoft-com:office:smarttags" w:element="PersonName">
        <w:r>
          <w:t>'</w:t>
        </w:r>
      </w:smartTag>
      <w:r>
        <w:t xml:space="preserve">assainissement en vigueur des </w:t>
      </w:r>
      <w:smartTag w:uri="urn:schemas-microsoft-com:office:smarttags" w:element="PersonName">
        <w:smartTagPr>
          <w:attr w:name="ProductID" w:val="Services Techniques de"/>
        </w:smartTagPr>
        <w:r>
          <w:t>Services Techniques de</w:t>
        </w:r>
      </w:smartTag>
      <w:r>
        <w:t xml:space="preserve"> la Ville et du concessionnaire.</w:t>
      </w:r>
    </w:p>
    <w:p w:rsidR="006B366A" w:rsidRDefault="006B366A" w:rsidP="006B366A"/>
    <w:p w:rsidR="006B366A" w:rsidRDefault="006B366A" w:rsidP="006B366A">
      <w:r>
        <w:t>Conforme aux normes N.F :</w:t>
      </w:r>
    </w:p>
    <w:p w:rsidR="006B366A" w:rsidRDefault="006B366A" w:rsidP="006B366A"/>
    <w:p w:rsidR="006B366A" w:rsidRDefault="006B366A" w:rsidP="006B366A">
      <w:pPr>
        <w:pStyle w:val="Listepuces"/>
      </w:pPr>
      <w:r>
        <w:t>P 98.311 Dispositifs de fermeture et de couronnement.</w:t>
      </w:r>
    </w:p>
    <w:p w:rsidR="006B366A" w:rsidRDefault="006B366A" w:rsidP="006B366A">
      <w:pPr>
        <w:pStyle w:val="Listepuces"/>
      </w:pPr>
      <w:r>
        <w:t>P 98.302 Plaques de recouvrement.</w:t>
      </w:r>
    </w:p>
    <w:p w:rsidR="006B366A" w:rsidRDefault="006B366A" w:rsidP="006B366A">
      <w:pPr>
        <w:pStyle w:val="Listepuces"/>
      </w:pPr>
      <w:r>
        <w:t>P 16.342 Pour les regards de visite en béton.</w:t>
      </w:r>
    </w:p>
    <w:p w:rsidR="006B366A" w:rsidRDefault="006B366A" w:rsidP="006B366A">
      <w:pPr>
        <w:pStyle w:val="Listepuces"/>
      </w:pPr>
      <w:r>
        <w:t>P 16.343 Pour les boîtes de branchement en béton ou PVC.</w:t>
      </w:r>
    </w:p>
    <w:p w:rsidR="006B366A" w:rsidRDefault="006B366A" w:rsidP="006B366A">
      <w:pPr>
        <w:pStyle w:val="Listepuces"/>
      </w:pPr>
      <w:r>
        <w:t>NFP 98.331 Tranchée : ouverture, remblayage, réfection.</w:t>
      </w:r>
    </w:p>
    <w:p w:rsidR="006B366A" w:rsidRPr="006B366A" w:rsidRDefault="006B366A"/>
    <w:sectPr w:rsidR="006B366A" w:rsidRPr="006B366A" w:rsidSect="00C30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366A"/>
    <w:rsid w:val="00184196"/>
    <w:rsid w:val="006B366A"/>
    <w:rsid w:val="006E704B"/>
    <w:rsid w:val="007C29DD"/>
    <w:rsid w:val="00A379EA"/>
    <w:rsid w:val="00C3021F"/>
    <w:rsid w:val="00C81213"/>
    <w:rsid w:val="00CB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6B366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link w:val="Titre1Car"/>
    <w:qFormat/>
    <w:rsid w:val="00184196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184196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184196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184196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  <w:sz w:val="24"/>
      <w:szCs w:val="24"/>
    </w:rPr>
  </w:style>
  <w:style w:type="paragraph" w:styleId="Titre5">
    <w:name w:val="heading 5"/>
    <w:basedOn w:val="Normal"/>
    <w:next w:val="Normal"/>
    <w:link w:val="Titre5Car"/>
    <w:unhideWhenUsed/>
    <w:qFormat/>
    <w:rsid w:val="00184196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  <w:sz w:val="20"/>
    </w:rPr>
  </w:style>
  <w:style w:type="paragraph" w:styleId="Titre6">
    <w:name w:val="heading 6"/>
    <w:basedOn w:val="Normal"/>
    <w:next w:val="Normal"/>
    <w:link w:val="Titre6Car"/>
    <w:unhideWhenUsed/>
    <w:qFormat/>
    <w:rsid w:val="00184196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  <w:sz w:val="20"/>
    </w:rPr>
  </w:style>
  <w:style w:type="paragraph" w:styleId="Titre7">
    <w:name w:val="heading 7"/>
    <w:basedOn w:val="Normal"/>
    <w:next w:val="Normal"/>
    <w:link w:val="Titre7Car"/>
    <w:unhideWhenUsed/>
    <w:qFormat/>
    <w:rsid w:val="00184196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</w:rPr>
  </w:style>
  <w:style w:type="paragraph" w:styleId="Titre8">
    <w:name w:val="heading 8"/>
    <w:basedOn w:val="Normal"/>
    <w:next w:val="Normal"/>
    <w:link w:val="Titre8Car"/>
    <w:unhideWhenUsed/>
    <w:qFormat/>
    <w:rsid w:val="00184196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</w:rPr>
  </w:style>
  <w:style w:type="paragraph" w:styleId="Titre9">
    <w:name w:val="heading 9"/>
    <w:basedOn w:val="Normal"/>
    <w:next w:val="Normal"/>
    <w:link w:val="Titre9Car"/>
    <w:unhideWhenUsed/>
    <w:qFormat/>
    <w:rsid w:val="00184196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84196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84196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184196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184196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184196"/>
    <w:rPr>
      <w:rFonts w:ascii="Cambria" w:eastAsiaTheme="majorEastAsia" w:hAnsi="Cambria" w:cstheme="majorBidi"/>
      <w:b/>
      <w:bCs/>
      <w:i/>
      <w:iCs/>
    </w:rPr>
  </w:style>
  <w:style w:type="character" w:customStyle="1" w:styleId="Titre6Car">
    <w:name w:val="Titre 6 Car"/>
    <w:basedOn w:val="Policepardfaut"/>
    <w:link w:val="Titre6"/>
    <w:uiPriority w:val="9"/>
    <w:semiHidden/>
    <w:rsid w:val="00184196"/>
    <w:rPr>
      <w:rFonts w:ascii="Cambria" w:eastAsiaTheme="majorEastAsia" w:hAnsi="Cambria" w:cstheme="majorBidi"/>
      <w:b/>
      <w:bCs/>
      <w:i/>
      <w:iCs/>
    </w:rPr>
  </w:style>
  <w:style w:type="character" w:customStyle="1" w:styleId="Titre7Car">
    <w:name w:val="Titre 7 Car"/>
    <w:basedOn w:val="Policepardfaut"/>
    <w:link w:val="Titre7"/>
    <w:uiPriority w:val="9"/>
    <w:semiHidden/>
    <w:rsid w:val="00184196"/>
    <w:rPr>
      <w:rFonts w:ascii="Cambria" w:eastAsiaTheme="majorEastAsia" w:hAnsi="Cambria" w:cstheme="majorBidi"/>
      <w:b/>
      <w:bCs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184196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184196"/>
    <w:rPr>
      <w:rFonts w:ascii="Cambria" w:eastAsiaTheme="majorEastAsia" w:hAnsi="Cambria" w:cstheme="majorBidi"/>
      <w:i/>
      <w:iCs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84196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184196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184196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84196"/>
    <w:pPr>
      <w:spacing w:after="320"/>
      <w:jc w:val="right"/>
    </w:pPr>
    <w:rPr>
      <w:rFonts w:eastAsiaTheme="majorEastAsia" w:cstheme="majorBidi"/>
      <w:i/>
      <w:iCs/>
      <w:color w:val="808080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84196"/>
    <w:rPr>
      <w:rFonts w:eastAsiaTheme="majorEastAsia" w:cstheme="majorBidi"/>
      <w:i/>
      <w:iCs/>
      <w:color w:val="808080"/>
      <w:spacing w:val="10"/>
      <w:sz w:val="24"/>
      <w:szCs w:val="24"/>
    </w:rPr>
  </w:style>
  <w:style w:type="character" w:styleId="lev">
    <w:name w:val="Strong"/>
    <w:basedOn w:val="Policepardfaut"/>
    <w:uiPriority w:val="22"/>
    <w:qFormat/>
    <w:rsid w:val="00184196"/>
    <w:rPr>
      <w:b/>
      <w:bCs/>
      <w:spacing w:val="0"/>
    </w:rPr>
  </w:style>
  <w:style w:type="character" w:styleId="Accentuation">
    <w:name w:val="Emphasis"/>
    <w:uiPriority w:val="20"/>
    <w:qFormat/>
    <w:rsid w:val="00184196"/>
    <w:rPr>
      <w:b/>
      <w:bCs/>
      <w:i/>
      <w:iCs/>
      <w:color w:val="auto"/>
    </w:rPr>
  </w:style>
  <w:style w:type="paragraph" w:styleId="Sansinterligne">
    <w:name w:val="No Spacing"/>
    <w:basedOn w:val="Normal"/>
    <w:link w:val="SansinterligneCar"/>
    <w:uiPriority w:val="1"/>
    <w:qFormat/>
    <w:rsid w:val="00184196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184196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84196"/>
    <w:rPr>
      <w:color w:val="5A5A5A"/>
      <w:sz w:val="20"/>
    </w:rPr>
  </w:style>
  <w:style w:type="character" w:customStyle="1" w:styleId="CitationCar">
    <w:name w:val="Citation Car"/>
    <w:basedOn w:val="Policepardfaut"/>
    <w:link w:val="Citation"/>
    <w:uiPriority w:val="29"/>
    <w:rsid w:val="00184196"/>
    <w:rPr>
      <w:rFonts w:ascii="Calibri"/>
      <w:color w:val="5A5A5A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84196"/>
    <w:pPr>
      <w:spacing w:before="320" w:after="480"/>
      <w:ind w:left="720" w:right="720"/>
      <w:jc w:val="center"/>
    </w:pPr>
    <w:rPr>
      <w:rFonts w:ascii="Cambria" w:hAnsi="Cambria"/>
      <w:i/>
      <w:iCs/>
      <w:sz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84196"/>
    <w:rPr>
      <w:rFonts w:ascii="Cambria" w:eastAsia="Times New Roman" w:hAnsi="Cambria" w:cs="Times New Roman"/>
      <w:i/>
      <w:iCs/>
      <w:sz w:val="20"/>
      <w:szCs w:val="20"/>
    </w:rPr>
  </w:style>
  <w:style w:type="character" w:styleId="Emphaseple">
    <w:name w:val="Subtle Emphasis"/>
    <w:uiPriority w:val="19"/>
    <w:qFormat/>
    <w:rsid w:val="00184196"/>
    <w:rPr>
      <w:i/>
      <w:iCs/>
      <w:color w:val="5A5A5A"/>
    </w:rPr>
  </w:style>
  <w:style w:type="character" w:styleId="Emphaseintense">
    <w:name w:val="Intense Emphasis"/>
    <w:uiPriority w:val="21"/>
    <w:qFormat/>
    <w:rsid w:val="00184196"/>
    <w:rPr>
      <w:b/>
      <w:bCs/>
      <w:i/>
      <w:iCs/>
      <w:color w:val="auto"/>
      <w:u w:val="single"/>
    </w:rPr>
  </w:style>
  <w:style w:type="character" w:styleId="Rfrenceple">
    <w:name w:val="Subtle Reference"/>
    <w:uiPriority w:val="31"/>
    <w:qFormat/>
    <w:rsid w:val="00184196"/>
    <w:rPr>
      <w:smallCaps/>
    </w:rPr>
  </w:style>
  <w:style w:type="character" w:styleId="Rfrenceintense">
    <w:name w:val="Intense Reference"/>
    <w:uiPriority w:val="32"/>
    <w:qFormat/>
    <w:rsid w:val="00184196"/>
    <w:rPr>
      <w:b/>
      <w:bCs/>
      <w:smallCaps/>
      <w:color w:val="auto"/>
    </w:rPr>
  </w:style>
  <w:style w:type="character" w:styleId="Titredulivre">
    <w:name w:val="Book Title"/>
    <w:uiPriority w:val="33"/>
    <w:qFormat/>
    <w:rsid w:val="00184196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84196"/>
    <w:pPr>
      <w:outlineLvl w:val="9"/>
    </w:pPr>
    <w:rPr>
      <w:lang w:val="en-US" w:eastAsia="en-US"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84196"/>
    <w:rPr>
      <w:rFonts w:eastAsiaTheme="minorEastAsia"/>
      <w:sz w:val="22"/>
      <w:szCs w:val="22"/>
      <w:lang w:val="en-US" w:eastAsia="en-US" w:bidi="en-US"/>
    </w:rPr>
  </w:style>
  <w:style w:type="paragraph" w:styleId="Corpsdetexte2">
    <w:name w:val="Body Text 2"/>
    <w:basedOn w:val="Normal"/>
    <w:link w:val="Corpsdetexte2Car"/>
    <w:rsid w:val="006B366A"/>
    <w:pPr>
      <w:tabs>
        <w:tab w:val="right" w:pos="8789"/>
      </w:tabs>
      <w:jc w:val="center"/>
    </w:pPr>
    <w:rPr>
      <w:b/>
      <w:i/>
      <w:sz w:val="36"/>
    </w:rPr>
  </w:style>
  <w:style w:type="character" w:customStyle="1" w:styleId="Corpsdetexte2Car">
    <w:name w:val="Corps de texte 2 Car"/>
    <w:basedOn w:val="Policepardfaut"/>
    <w:link w:val="Corpsdetexte2"/>
    <w:rsid w:val="006B366A"/>
    <w:rPr>
      <w:rFonts w:ascii="Arial" w:hAnsi="Arial"/>
      <w:b/>
      <w:i/>
      <w:sz w:val="36"/>
    </w:rPr>
  </w:style>
  <w:style w:type="paragraph" w:styleId="Index1">
    <w:name w:val="index 1"/>
    <w:basedOn w:val="Normal"/>
    <w:next w:val="Normal"/>
    <w:autoRedefine/>
    <w:semiHidden/>
    <w:rsid w:val="006B366A"/>
    <w:pPr>
      <w:pBdr>
        <w:top w:val="single" w:sz="4" w:space="15" w:color="auto"/>
        <w:left w:val="single" w:sz="4" w:space="4" w:color="auto"/>
        <w:bottom w:val="single" w:sz="4" w:space="15" w:color="auto"/>
        <w:right w:val="single" w:sz="4" w:space="4" w:color="auto"/>
      </w:pBdr>
      <w:ind w:left="1134" w:right="1134"/>
      <w:jc w:val="center"/>
    </w:pPr>
    <w:rPr>
      <w:b/>
      <w:sz w:val="3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B366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B366A"/>
    <w:rPr>
      <w:rFonts w:ascii="Arial" w:hAnsi="Arial"/>
      <w:sz w:val="22"/>
    </w:rPr>
  </w:style>
  <w:style w:type="paragraph" w:styleId="Listepuces">
    <w:name w:val="List Bullet"/>
    <w:basedOn w:val="Normal"/>
    <w:autoRedefine/>
    <w:rsid w:val="006B366A"/>
    <w:pPr>
      <w:spacing w:after="12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551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baleret</dc:creator>
  <cp:keywords/>
  <dc:description/>
  <cp:lastModifiedBy>baleret</cp:lastModifiedBy>
  <cp:revision>3</cp:revision>
  <dcterms:created xsi:type="dcterms:W3CDTF">2014-01-09T15:47:00Z</dcterms:created>
  <dcterms:modified xsi:type="dcterms:W3CDTF">2014-01-13T15:10:00Z</dcterms:modified>
</cp:coreProperties>
</file>