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02" w:rsidRPr="00C62E87" w:rsidRDefault="00361802" w:rsidP="00361802">
      <w:pPr>
        <w:rPr>
          <w:rFonts w:cs="Arial"/>
        </w:rPr>
      </w:pPr>
    </w:p>
    <w:p w:rsidR="00361802" w:rsidRPr="00C62E87" w:rsidRDefault="00361802" w:rsidP="00361802">
      <w:pPr>
        <w:rPr>
          <w:rFonts w:cs="Arial"/>
        </w:rPr>
      </w:pPr>
    </w:p>
    <w:p w:rsidR="00361802" w:rsidRPr="00C62E87" w:rsidRDefault="00361802" w:rsidP="00361802">
      <w:pPr>
        <w:rPr>
          <w:rFonts w:cs="Arial"/>
        </w:rPr>
      </w:pPr>
    </w:p>
    <w:p w:rsidR="00361802" w:rsidRDefault="00361802" w:rsidP="00361802"/>
    <w:p w:rsidR="00361802" w:rsidRDefault="00361802" w:rsidP="00361802">
      <w:pPr>
        <w:pStyle w:val="Index1"/>
      </w:pPr>
      <w:r>
        <w:t>Lotissement du « </w:t>
      </w:r>
      <w:proofErr w:type="spellStart"/>
      <w:r>
        <w:t>Herrenfeld</w:t>
      </w:r>
      <w:proofErr w:type="spellEnd"/>
      <w:r>
        <w:t> »</w:t>
      </w:r>
    </w:p>
    <w:p w:rsidR="00361802" w:rsidRDefault="00361802" w:rsidP="00361802"/>
    <w:p w:rsidR="00361802" w:rsidRDefault="00361802" w:rsidP="00361802">
      <w:pPr>
        <w:pStyle w:val="En-tte"/>
      </w:pPr>
    </w:p>
    <w:p w:rsidR="00361802" w:rsidRDefault="00361802" w:rsidP="00361802">
      <w:pPr>
        <w:pStyle w:val="En-tte"/>
      </w:pPr>
    </w:p>
    <w:p w:rsidR="00361802" w:rsidRDefault="00361802" w:rsidP="00361802">
      <w:pPr>
        <w:pStyle w:val="En-tte"/>
      </w:pPr>
    </w:p>
    <w:p w:rsidR="00361802" w:rsidRDefault="00361802" w:rsidP="00361802">
      <w:pPr>
        <w:pStyle w:val="En-tte"/>
      </w:pPr>
    </w:p>
    <w:p w:rsidR="00361802" w:rsidRDefault="00361802" w:rsidP="00361802"/>
    <w:p w:rsidR="00361802" w:rsidRDefault="00361802" w:rsidP="00361802">
      <w:pPr>
        <w:pStyle w:val="Index1"/>
      </w:pPr>
      <w:r>
        <w:t>RESEAU D’EAU POTABLE</w:t>
      </w:r>
    </w:p>
    <w:p w:rsidR="00361802" w:rsidRDefault="00361802" w:rsidP="00361802"/>
    <w:p w:rsidR="00361802" w:rsidRDefault="00361802" w:rsidP="00361802"/>
    <w:p w:rsidR="00361802" w:rsidRDefault="00361802" w:rsidP="00361802"/>
    <w:p w:rsidR="00361802" w:rsidRPr="008A44AE" w:rsidRDefault="00361802" w:rsidP="00361802">
      <w:pPr>
        <w:pStyle w:val="Corpsdetexte"/>
        <w:rPr>
          <w:u w:val="single"/>
        </w:rPr>
      </w:pPr>
      <w:r w:rsidRPr="008A44AE">
        <w:rPr>
          <w:u w:val="single"/>
        </w:rPr>
        <w:t>DESCRIPTIF</w:t>
      </w:r>
    </w:p>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Default="00361802" w:rsidP="00361802"/>
    <w:p w:rsidR="00361802" w:rsidRPr="00D94BD9" w:rsidRDefault="00361802" w:rsidP="00361802"/>
    <w:p w:rsidR="00361802" w:rsidRDefault="00361802" w:rsidP="00361802"/>
    <w:tbl>
      <w:tblPr>
        <w:tblW w:w="0" w:type="auto"/>
        <w:tblInd w:w="-1" w:type="dxa"/>
        <w:tblLayout w:type="fixed"/>
        <w:tblCellMar>
          <w:left w:w="70" w:type="dxa"/>
          <w:right w:w="70" w:type="dxa"/>
        </w:tblCellMar>
        <w:tblLook w:val="0000"/>
      </w:tblPr>
      <w:tblGrid>
        <w:gridCol w:w="922"/>
        <w:gridCol w:w="1276"/>
        <w:gridCol w:w="2551"/>
        <w:gridCol w:w="1701"/>
        <w:gridCol w:w="1559"/>
        <w:gridCol w:w="18"/>
        <w:gridCol w:w="1685"/>
      </w:tblGrid>
      <w:tr w:rsidR="00361802" w:rsidTr="0073001A">
        <w:tc>
          <w:tcPr>
            <w:tcW w:w="2198" w:type="dxa"/>
            <w:gridSpan w:val="2"/>
            <w:tcBorders>
              <w:top w:val="single" w:sz="6" w:space="0" w:color="auto"/>
              <w:left w:val="single" w:sz="6" w:space="0" w:color="auto"/>
              <w:bottom w:val="single" w:sz="6" w:space="0" w:color="auto"/>
              <w:right w:val="single" w:sz="6" w:space="0" w:color="auto"/>
            </w:tcBorders>
          </w:tcPr>
          <w:p w:rsidR="00361802" w:rsidRDefault="00361802" w:rsidP="0073001A">
            <w:pPr>
              <w:pStyle w:val="Essai"/>
            </w:pPr>
            <w:r>
              <w:t>Réf. projet : …………..</w:t>
            </w:r>
          </w:p>
        </w:tc>
        <w:tc>
          <w:tcPr>
            <w:tcW w:w="7514" w:type="dxa"/>
            <w:gridSpan w:val="5"/>
            <w:tcBorders>
              <w:left w:val="nil"/>
            </w:tcBorders>
          </w:tcPr>
          <w:p w:rsidR="00361802" w:rsidRDefault="00361802" w:rsidP="0073001A"/>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Default="00361802" w:rsidP="0073001A">
            <w:pPr>
              <w:pStyle w:val="Index3"/>
            </w:pPr>
            <w:r>
              <w:t>DATE</w:t>
            </w:r>
          </w:p>
        </w:tc>
        <w:tc>
          <w:tcPr>
            <w:tcW w:w="1276" w:type="dxa"/>
            <w:vAlign w:val="center"/>
          </w:tcPr>
          <w:p w:rsidR="00361802" w:rsidRDefault="00361802" w:rsidP="0073001A">
            <w:pPr>
              <w:pStyle w:val="Index3"/>
            </w:pPr>
            <w:r>
              <w:t>INDICE</w:t>
            </w:r>
          </w:p>
        </w:tc>
        <w:tc>
          <w:tcPr>
            <w:tcW w:w="2551" w:type="dxa"/>
            <w:vAlign w:val="center"/>
          </w:tcPr>
          <w:p w:rsidR="00361802" w:rsidRDefault="00361802" w:rsidP="0073001A">
            <w:pPr>
              <w:pStyle w:val="Index3"/>
            </w:pPr>
            <w:r>
              <w:t>LIBELLE MODIFICATION</w:t>
            </w:r>
          </w:p>
        </w:tc>
        <w:tc>
          <w:tcPr>
            <w:tcW w:w="1701" w:type="dxa"/>
            <w:vAlign w:val="center"/>
          </w:tcPr>
          <w:p w:rsidR="00361802" w:rsidRDefault="00361802" w:rsidP="0073001A">
            <w:pPr>
              <w:pStyle w:val="Index3"/>
            </w:pPr>
            <w:r>
              <w:t>Conçu par</w:t>
            </w:r>
          </w:p>
        </w:tc>
        <w:tc>
          <w:tcPr>
            <w:tcW w:w="1577" w:type="dxa"/>
            <w:gridSpan w:val="2"/>
            <w:vAlign w:val="center"/>
          </w:tcPr>
          <w:p w:rsidR="00361802" w:rsidRDefault="00361802" w:rsidP="0073001A">
            <w:pPr>
              <w:pStyle w:val="Index3"/>
            </w:pPr>
            <w:r>
              <w:t>Mis en page par</w:t>
            </w:r>
          </w:p>
        </w:tc>
        <w:tc>
          <w:tcPr>
            <w:tcW w:w="1685" w:type="dxa"/>
            <w:vAlign w:val="center"/>
          </w:tcPr>
          <w:p w:rsidR="00361802" w:rsidRDefault="00361802" w:rsidP="0073001A">
            <w:pPr>
              <w:pStyle w:val="Index3"/>
            </w:pPr>
            <w:r>
              <w:t>Vérifié par</w:t>
            </w:r>
          </w:p>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Default="00361802" w:rsidP="0073001A">
            <w:pPr>
              <w:pStyle w:val="Index3"/>
            </w:pPr>
            <w:r>
              <w:t>20/04/12</w:t>
            </w:r>
          </w:p>
        </w:tc>
        <w:tc>
          <w:tcPr>
            <w:tcW w:w="1276" w:type="dxa"/>
            <w:vAlign w:val="center"/>
          </w:tcPr>
          <w:p w:rsidR="00361802" w:rsidRDefault="00361802" w:rsidP="0073001A">
            <w:pPr>
              <w:pStyle w:val="Index3"/>
            </w:pPr>
            <w:r>
              <w:t>A</w:t>
            </w:r>
          </w:p>
        </w:tc>
        <w:tc>
          <w:tcPr>
            <w:tcW w:w="2551" w:type="dxa"/>
            <w:vAlign w:val="center"/>
          </w:tcPr>
          <w:p w:rsidR="00361802" w:rsidRDefault="00361802" w:rsidP="0073001A">
            <w:pPr>
              <w:pStyle w:val="Index3"/>
            </w:pPr>
            <w:r>
              <w:t>Edition de base</w:t>
            </w:r>
          </w:p>
        </w:tc>
        <w:tc>
          <w:tcPr>
            <w:tcW w:w="1701" w:type="dxa"/>
            <w:vAlign w:val="center"/>
          </w:tcPr>
          <w:p w:rsidR="00361802" w:rsidRDefault="00361802" w:rsidP="0073001A">
            <w:pPr>
              <w:pStyle w:val="Index3"/>
              <w:rPr>
                <w:lang w:val="en-GB"/>
              </w:rPr>
            </w:pPr>
          </w:p>
        </w:tc>
        <w:tc>
          <w:tcPr>
            <w:tcW w:w="1577" w:type="dxa"/>
            <w:gridSpan w:val="2"/>
            <w:vAlign w:val="center"/>
          </w:tcPr>
          <w:p w:rsidR="00361802" w:rsidRDefault="00361802" w:rsidP="0073001A">
            <w:pPr>
              <w:pStyle w:val="Index3"/>
            </w:pPr>
          </w:p>
        </w:tc>
        <w:tc>
          <w:tcPr>
            <w:tcW w:w="1685" w:type="dxa"/>
            <w:vAlign w:val="center"/>
          </w:tcPr>
          <w:p w:rsidR="00361802" w:rsidRDefault="00361802" w:rsidP="0073001A">
            <w:pPr>
              <w:pStyle w:val="Index3"/>
            </w:pPr>
          </w:p>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Default="00361802" w:rsidP="0073001A">
            <w:pPr>
              <w:pStyle w:val="Index3"/>
            </w:pPr>
          </w:p>
        </w:tc>
        <w:tc>
          <w:tcPr>
            <w:tcW w:w="1276" w:type="dxa"/>
            <w:vAlign w:val="center"/>
          </w:tcPr>
          <w:p w:rsidR="00361802" w:rsidRDefault="00361802" w:rsidP="0073001A">
            <w:pPr>
              <w:pStyle w:val="Index3"/>
            </w:pPr>
          </w:p>
        </w:tc>
        <w:tc>
          <w:tcPr>
            <w:tcW w:w="2551" w:type="dxa"/>
            <w:vAlign w:val="center"/>
          </w:tcPr>
          <w:p w:rsidR="00361802" w:rsidRDefault="00361802" w:rsidP="0073001A">
            <w:pPr>
              <w:pStyle w:val="Index3"/>
            </w:pPr>
          </w:p>
        </w:tc>
        <w:tc>
          <w:tcPr>
            <w:tcW w:w="1701" w:type="dxa"/>
            <w:vAlign w:val="center"/>
          </w:tcPr>
          <w:p w:rsidR="00361802" w:rsidRDefault="00361802" w:rsidP="0073001A">
            <w:pPr>
              <w:pStyle w:val="Index3"/>
            </w:pPr>
          </w:p>
        </w:tc>
        <w:tc>
          <w:tcPr>
            <w:tcW w:w="1559" w:type="dxa"/>
            <w:vAlign w:val="center"/>
          </w:tcPr>
          <w:p w:rsidR="00361802" w:rsidRDefault="00361802" w:rsidP="0073001A">
            <w:pPr>
              <w:pStyle w:val="Index3"/>
            </w:pPr>
          </w:p>
        </w:tc>
        <w:tc>
          <w:tcPr>
            <w:tcW w:w="1703" w:type="dxa"/>
            <w:gridSpan w:val="2"/>
            <w:vAlign w:val="center"/>
          </w:tcPr>
          <w:p w:rsidR="00361802" w:rsidRDefault="00361802" w:rsidP="0073001A">
            <w:pPr>
              <w:pStyle w:val="Index3"/>
            </w:pPr>
          </w:p>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Pr="00C62E87" w:rsidRDefault="00361802" w:rsidP="0073001A">
            <w:pPr>
              <w:pStyle w:val="Index3"/>
            </w:pPr>
          </w:p>
        </w:tc>
        <w:tc>
          <w:tcPr>
            <w:tcW w:w="1276" w:type="dxa"/>
            <w:vAlign w:val="center"/>
          </w:tcPr>
          <w:p w:rsidR="00361802" w:rsidRPr="00C62E87" w:rsidRDefault="00361802" w:rsidP="0073001A">
            <w:pPr>
              <w:pStyle w:val="Index3"/>
            </w:pPr>
          </w:p>
        </w:tc>
        <w:tc>
          <w:tcPr>
            <w:tcW w:w="2551" w:type="dxa"/>
            <w:vAlign w:val="center"/>
          </w:tcPr>
          <w:p w:rsidR="00361802" w:rsidRPr="00C62E87" w:rsidRDefault="00361802" w:rsidP="0073001A">
            <w:pPr>
              <w:pStyle w:val="Index3"/>
            </w:pPr>
          </w:p>
        </w:tc>
        <w:tc>
          <w:tcPr>
            <w:tcW w:w="1701" w:type="dxa"/>
            <w:vAlign w:val="center"/>
          </w:tcPr>
          <w:p w:rsidR="00361802" w:rsidRDefault="00361802" w:rsidP="0073001A">
            <w:pPr>
              <w:pStyle w:val="Index3"/>
            </w:pPr>
          </w:p>
        </w:tc>
        <w:tc>
          <w:tcPr>
            <w:tcW w:w="1577" w:type="dxa"/>
            <w:gridSpan w:val="2"/>
            <w:vAlign w:val="center"/>
          </w:tcPr>
          <w:p w:rsidR="00361802" w:rsidRDefault="00361802" w:rsidP="0073001A">
            <w:pPr>
              <w:pStyle w:val="Index3"/>
            </w:pPr>
          </w:p>
        </w:tc>
        <w:tc>
          <w:tcPr>
            <w:tcW w:w="1685" w:type="dxa"/>
            <w:vAlign w:val="center"/>
          </w:tcPr>
          <w:p w:rsidR="00361802" w:rsidRDefault="00361802" w:rsidP="0073001A">
            <w:pPr>
              <w:pStyle w:val="Index3"/>
            </w:pPr>
          </w:p>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Default="00361802" w:rsidP="0073001A"/>
        </w:tc>
        <w:tc>
          <w:tcPr>
            <w:tcW w:w="1276" w:type="dxa"/>
            <w:vAlign w:val="center"/>
          </w:tcPr>
          <w:p w:rsidR="00361802" w:rsidRDefault="00361802" w:rsidP="0073001A"/>
        </w:tc>
        <w:tc>
          <w:tcPr>
            <w:tcW w:w="2551" w:type="dxa"/>
            <w:vAlign w:val="center"/>
          </w:tcPr>
          <w:p w:rsidR="00361802" w:rsidRDefault="00361802" w:rsidP="0073001A"/>
        </w:tc>
        <w:tc>
          <w:tcPr>
            <w:tcW w:w="1701" w:type="dxa"/>
            <w:vAlign w:val="center"/>
          </w:tcPr>
          <w:p w:rsidR="00361802" w:rsidRDefault="00361802" w:rsidP="0073001A"/>
        </w:tc>
        <w:tc>
          <w:tcPr>
            <w:tcW w:w="1577" w:type="dxa"/>
            <w:gridSpan w:val="2"/>
            <w:vAlign w:val="center"/>
          </w:tcPr>
          <w:p w:rsidR="00361802" w:rsidRDefault="00361802" w:rsidP="0073001A"/>
        </w:tc>
        <w:tc>
          <w:tcPr>
            <w:tcW w:w="1685" w:type="dxa"/>
            <w:vAlign w:val="center"/>
          </w:tcPr>
          <w:p w:rsidR="00361802" w:rsidRDefault="00361802" w:rsidP="0073001A"/>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Default="00361802" w:rsidP="0073001A"/>
        </w:tc>
        <w:tc>
          <w:tcPr>
            <w:tcW w:w="1276" w:type="dxa"/>
            <w:vAlign w:val="center"/>
          </w:tcPr>
          <w:p w:rsidR="00361802" w:rsidRDefault="00361802" w:rsidP="0073001A"/>
        </w:tc>
        <w:tc>
          <w:tcPr>
            <w:tcW w:w="2551" w:type="dxa"/>
            <w:vAlign w:val="center"/>
          </w:tcPr>
          <w:p w:rsidR="00361802" w:rsidRDefault="00361802" w:rsidP="0073001A"/>
        </w:tc>
        <w:tc>
          <w:tcPr>
            <w:tcW w:w="1701" w:type="dxa"/>
            <w:vAlign w:val="center"/>
          </w:tcPr>
          <w:p w:rsidR="00361802" w:rsidRDefault="00361802" w:rsidP="0073001A"/>
        </w:tc>
        <w:tc>
          <w:tcPr>
            <w:tcW w:w="1577" w:type="dxa"/>
            <w:gridSpan w:val="2"/>
            <w:vAlign w:val="center"/>
          </w:tcPr>
          <w:p w:rsidR="00361802" w:rsidRDefault="00361802" w:rsidP="0073001A"/>
        </w:tc>
        <w:tc>
          <w:tcPr>
            <w:tcW w:w="1685" w:type="dxa"/>
            <w:vAlign w:val="center"/>
          </w:tcPr>
          <w:p w:rsidR="00361802" w:rsidRDefault="00361802" w:rsidP="0073001A"/>
        </w:tc>
      </w:tr>
      <w:tr w:rsidR="00361802" w:rsidTr="007300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rPr>
          <w:trHeight w:val="227"/>
        </w:trPr>
        <w:tc>
          <w:tcPr>
            <w:tcW w:w="922" w:type="dxa"/>
            <w:vAlign w:val="center"/>
          </w:tcPr>
          <w:p w:rsidR="00361802" w:rsidRDefault="00361802" w:rsidP="0073001A"/>
        </w:tc>
        <w:tc>
          <w:tcPr>
            <w:tcW w:w="1276" w:type="dxa"/>
            <w:vAlign w:val="center"/>
          </w:tcPr>
          <w:p w:rsidR="00361802" w:rsidRDefault="00361802" w:rsidP="0073001A"/>
        </w:tc>
        <w:tc>
          <w:tcPr>
            <w:tcW w:w="2551" w:type="dxa"/>
            <w:vAlign w:val="center"/>
          </w:tcPr>
          <w:p w:rsidR="00361802" w:rsidRDefault="00361802" w:rsidP="0073001A"/>
        </w:tc>
        <w:tc>
          <w:tcPr>
            <w:tcW w:w="1701" w:type="dxa"/>
            <w:vAlign w:val="center"/>
          </w:tcPr>
          <w:p w:rsidR="00361802" w:rsidRDefault="00361802" w:rsidP="0073001A"/>
        </w:tc>
        <w:tc>
          <w:tcPr>
            <w:tcW w:w="1577" w:type="dxa"/>
            <w:gridSpan w:val="2"/>
            <w:vAlign w:val="center"/>
          </w:tcPr>
          <w:p w:rsidR="00361802" w:rsidRDefault="00361802" w:rsidP="0073001A"/>
        </w:tc>
        <w:tc>
          <w:tcPr>
            <w:tcW w:w="1685" w:type="dxa"/>
            <w:vAlign w:val="center"/>
          </w:tcPr>
          <w:p w:rsidR="00361802" w:rsidRDefault="00361802" w:rsidP="0073001A"/>
        </w:tc>
      </w:tr>
    </w:tbl>
    <w:p w:rsidR="00361802" w:rsidRPr="00361802" w:rsidRDefault="00361802" w:rsidP="00361802">
      <w:pPr>
        <w:rPr>
          <w:sz w:val="16"/>
        </w:rPr>
      </w:pPr>
    </w:p>
    <w:p w:rsidR="00361802" w:rsidRDefault="00D43B6D" w:rsidP="00361802">
      <w:pPr>
        <w:pStyle w:val="TM1"/>
        <w:rPr>
          <w:rFonts w:ascii="Times New Roman" w:hAnsi="Times New Roman"/>
          <w:b w:val="0"/>
          <w:szCs w:val="24"/>
        </w:rPr>
      </w:pPr>
      <w:r w:rsidRPr="00D43B6D">
        <w:fldChar w:fldCharType="begin"/>
      </w:r>
      <w:r w:rsidR="00361802">
        <w:instrText xml:space="preserve"> TOC \o "1-3" \h \z \u </w:instrText>
      </w:r>
      <w:r w:rsidRPr="00D43B6D">
        <w:fldChar w:fldCharType="separate"/>
      </w:r>
    </w:p>
    <w:p w:rsidR="00361802" w:rsidRDefault="00361802" w:rsidP="00361802">
      <w:pPr>
        <w:pStyle w:val="TM2"/>
        <w:rPr>
          <w:rFonts w:ascii="Times New Roman" w:hAnsi="Times New Roman"/>
          <w:b w:val="0"/>
          <w:sz w:val="24"/>
          <w:szCs w:val="24"/>
        </w:rPr>
      </w:pPr>
    </w:p>
    <w:p w:rsidR="00361802" w:rsidRDefault="00D43B6D" w:rsidP="00361802">
      <w:pPr>
        <w:rPr>
          <w:rFonts w:ascii="Book Antiqua" w:hAnsi="Book Antiqua"/>
          <w:sz w:val="16"/>
        </w:rPr>
      </w:pPr>
      <w:r>
        <w:rPr>
          <w:noProof/>
        </w:rPr>
        <w:fldChar w:fldCharType="end"/>
      </w:r>
    </w:p>
    <w:p w:rsidR="00361802" w:rsidRDefault="00361802" w:rsidP="00361802">
      <w:pPr>
        <w:rPr>
          <w:rFonts w:ascii="Book Antiqua" w:hAnsi="Book Antiqua"/>
        </w:rPr>
      </w:pPr>
      <w:r>
        <w:br w:type="page"/>
      </w:r>
    </w:p>
    <w:p w:rsidR="00361802" w:rsidRDefault="00361802" w:rsidP="00361802">
      <w:pPr>
        <w:pStyle w:val="Titre1"/>
        <w:rPr>
          <w:rFonts w:ascii="Book Antiqua" w:hAnsi="Book Antiqua"/>
          <w:sz w:val="24"/>
        </w:rPr>
      </w:pPr>
      <w:bookmarkStart w:id="0" w:name="_Toc147823207"/>
      <w:bookmarkStart w:id="1" w:name="_Toc148244850"/>
      <w:bookmarkStart w:id="2" w:name="_Toc149039681"/>
      <w:bookmarkStart w:id="3" w:name="_Toc258318446"/>
      <w:bookmarkStart w:id="4" w:name="_Toc323307688"/>
      <w:bookmarkStart w:id="5" w:name="_Toc1452058"/>
      <w:bookmarkStart w:id="6" w:name="_Toc323307689"/>
      <w:bookmarkEnd w:id="0"/>
      <w:bookmarkEnd w:id="1"/>
      <w:bookmarkEnd w:id="2"/>
      <w:bookmarkEnd w:id="3"/>
      <w:bookmarkEnd w:id="4"/>
      <w:r>
        <w:lastRenderedPageBreak/>
        <w:t>GENERALITES ET DESCRIPTION DES OUVRAGES</w:t>
      </w:r>
      <w:bookmarkEnd w:id="5"/>
      <w:bookmarkEnd w:id="6"/>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7" w:name="_Toc1452059"/>
      <w:bookmarkStart w:id="8" w:name="_Toc323307690"/>
      <w:r>
        <w:t>OBJET</w:t>
      </w:r>
      <w:bookmarkEnd w:id="7"/>
      <w:bookmarkEnd w:id="8"/>
    </w:p>
    <w:p w:rsidR="00361802" w:rsidRDefault="00361802" w:rsidP="00361802">
      <w:bookmarkStart w:id="9" w:name="_Toc1452060"/>
      <w:r>
        <w:t>Le présent devis descriptif s</w:t>
      </w:r>
      <w:smartTag w:uri="urn:schemas-microsoft-com:office:smarttags" w:element="PersonName">
        <w:r>
          <w:t>'</w:t>
        </w:r>
      </w:smartTag>
      <w:r>
        <w:t>applique à la réalisation des travaux d’EAU du lotissement du « </w:t>
      </w:r>
      <w:proofErr w:type="spellStart"/>
      <w:r>
        <w:t>Herrenfeld</w:t>
      </w:r>
      <w:proofErr w:type="spellEnd"/>
      <w:r>
        <w:t xml:space="preserve"> », implanté sur </w:t>
      </w:r>
      <w:smartTag w:uri="urn:schemas-microsoft-com:office:smarttags" w:element="PersonName">
        <w:smartTagPr>
          <w:attr w:name="ProductID" w:val="la Commune"/>
        </w:smartTagPr>
        <w:r>
          <w:t>la Commune</w:t>
        </w:r>
      </w:smartTag>
      <w:r>
        <w:t xml:space="preserve"> de </w:t>
      </w:r>
      <w:proofErr w:type="spellStart"/>
      <w:r>
        <w:t>Breistroff</w:t>
      </w:r>
      <w:proofErr w:type="spellEnd"/>
      <w:r>
        <w:t xml:space="preserve"> la grande dans le département de la MOSELLE.</w:t>
      </w:r>
    </w:p>
    <w:p w:rsidR="00361802" w:rsidRDefault="00361802" w:rsidP="00361802"/>
    <w:p w:rsidR="00361802" w:rsidRDefault="00361802" w:rsidP="00361802">
      <w:smartTag w:uri="urn:schemas-microsoft-com:office:smarttags" w:element="PersonName">
        <w:smartTagPr>
          <w:attr w:name="ProductID" w:val="La SOCIETE EUROPEAN HOMES"/>
        </w:smartTagPr>
        <w:smartTag w:uri="urn:schemas-microsoft-com:office:smarttags" w:element="PersonName">
          <w:smartTagPr>
            <w:attr w:name="ProductID" w:val="La SOCIETE EUROPEAN"/>
          </w:smartTagPr>
          <w:r>
            <w:t>La SOCIETE EUROPEAN</w:t>
          </w:r>
        </w:smartTag>
        <w:r>
          <w:t xml:space="preserve"> HOMES</w:t>
        </w:r>
      </w:smartTag>
      <w:r>
        <w:t xml:space="preserve"> France sera désignée dans ce qui suit par </w:t>
      </w:r>
      <w:smartTag w:uri="urn:schemas-microsoft-com:office:smarttags" w:element="PersonName">
        <w:smartTagPr>
          <w:attr w:name="ProductID" w:val="la &quot;Soci￩t￩"/>
        </w:smartTagPr>
        <w:r>
          <w:t>la "Société</w:t>
        </w:r>
      </w:smartTag>
      <w:r>
        <w:t>".</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16"/>
        </w:rPr>
      </w:pPr>
      <w:bookmarkStart w:id="10" w:name="_Toc323307691"/>
      <w:r>
        <w:t>NOMENCLATURE DES TRAVAUX</w:t>
      </w:r>
      <w:bookmarkEnd w:id="9"/>
      <w:bookmarkEnd w:id="10"/>
    </w:p>
    <w:p w:rsidR="00361802" w:rsidRDefault="00361802" w:rsidP="00361802">
      <w:r>
        <w:t>L'entreprise comprend :</w:t>
      </w:r>
    </w:p>
    <w:p w:rsidR="00361802" w:rsidRDefault="00361802" w:rsidP="00361802"/>
    <w:p w:rsidR="00361802" w:rsidRDefault="00361802" w:rsidP="00361802">
      <w:r>
        <w:t>- Les études d’exécution</w:t>
      </w:r>
    </w:p>
    <w:p w:rsidR="00361802" w:rsidRDefault="00361802" w:rsidP="00361802"/>
    <w:p w:rsidR="00361802" w:rsidRDefault="00361802" w:rsidP="00361802">
      <w:r>
        <w:t>- L'exécution des fouilles y compris tous étaiements, blindages ou épuisements qu'elles qu'en soient l'importance et la nature pour la mise en place des canalisations et des ouvrages font partie du lot tranchée tous réseaux.</w:t>
      </w:r>
    </w:p>
    <w:p w:rsidR="00361802" w:rsidRDefault="00361802" w:rsidP="00361802"/>
    <w:p w:rsidR="00361802" w:rsidRDefault="00361802" w:rsidP="00361802">
      <w:r>
        <w:t>- La fourniture et la pose des canalisations Ø 100, Fonte Natural avec pièces fonte pour le réseau, et Ø 19/25 à Ø 40/50 polyéthylène pour les branchements.</w:t>
      </w:r>
    </w:p>
    <w:p w:rsidR="00361802" w:rsidRDefault="00361802" w:rsidP="00361802"/>
    <w:p w:rsidR="00361802" w:rsidRDefault="00361802" w:rsidP="00361802">
      <w:r>
        <w:t>- Pièces de fontainerie, robinet vanne, purge, vidange ainsi que les raccordements aux réseaux existants.</w:t>
      </w:r>
    </w:p>
    <w:p w:rsidR="00361802" w:rsidRDefault="00361802" w:rsidP="00361802"/>
    <w:p w:rsidR="00361802" w:rsidRDefault="00361802" w:rsidP="00361802">
      <w:r>
        <w:t xml:space="preserve">- L'exécution des branchements individuels entre la conduite principale et le dispositif de comptage (citerneau monobloc) situé </w:t>
      </w:r>
      <w:smartTag w:uri="urn:schemas-microsoft-com:office:smarttags" w:element="metricconverter">
        <w:smartTagPr>
          <w:attr w:name="ProductID" w:val="1 m"/>
        </w:smartTagPr>
        <w:r>
          <w:t>1 m</w:t>
        </w:r>
      </w:smartTag>
      <w:r>
        <w:t xml:space="preserve"> derrière la limite de propriété.</w:t>
      </w:r>
    </w:p>
    <w:p w:rsidR="00361802" w:rsidRDefault="00361802" w:rsidP="00361802"/>
    <w:p w:rsidR="00361802" w:rsidRDefault="00361802" w:rsidP="00361802">
      <w:r>
        <w:t>- Le remblaiement partiel des fouilles y compris sable ou terre d'enrobage et remise en état des lieux.</w:t>
      </w:r>
    </w:p>
    <w:p w:rsidR="00361802" w:rsidRDefault="00361802" w:rsidP="00361802"/>
    <w:p w:rsidR="00361802" w:rsidRDefault="00361802" w:rsidP="00361802">
      <w:r>
        <w:t>- Les sujétions de franchissement des réseaux.</w:t>
      </w:r>
    </w:p>
    <w:p w:rsidR="00361802" w:rsidRDefault="00361802" w:rsidP="00361802"/>
    <w:p w:rsidR="00361802" w:rsidRDefault="00361802" w:rsidP="00361802">
      <w:r>
        <w:t>- Le transport aux lieux de dépôts et aux décharges de l'entreprise des matériaux en excédent ou impropres au remblaiement des tranchées ou éventuellement un régalage à proximité des lieux de travaux.</w:t>
      </w:r>
    </w:p>
    <w:p w:rsidR="00361802" w:rsidRDefault="00361802" w:rsidP="00361802"/>
    <w:p w:rsidR="00361802" w:rsidRDefault="00361802" w:rsidP="00361802">
      <w:r>
        <w:t>- La mise en service et les essais, la désinfection, le prélèvement et l’analyse.</w:t>
      </w:r>
    </w:p>
    <w:p w:rsidR="00361802" w:rsidRDefault="00361802" w:rsidP="00361802"/>
    <w:p w:rsidR="00361802" w:rsidRDefault="00361802" w:rsidP="00361802">
      <w:r>
        <w:t>- Le plan de récolement au 1/200</w:t>
      </w:r>
      <w:r>
        <w:rPr>
          <w:vertAlign w:val="superscript"/>
        </w:rPr>
        <w:t>ème</w:t>
      </w:r>
      <w:r>
        <w:t xml:space="preserve"> rattaché au système de coordonnées Lambert avec triangulation des différents organes</w:t>
      </w:r>
    </w:p>
    <w:p w:rsidR="00361802" w:rsidRDefault="00361802" w:rsidP="00361802"/>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11" w:name="_Toc1452061"/>
      <w:bookmarkStart w:id="12" w:name="_Toc323307692"/>
      <w:r>
        <w:t>LIMITE DES PRESTATIONS</w:t>
      </w:r>
      <w:bookmarkEnd w:id="11"/>
      <w:bookmarkEnd w:id="12"/>
    </w:p>
    <w:p w:rsidR="00361802" w:rsidRDefault="00361802" w:rsidP="00361802">
      <w:pPr>
        <w:pStyle w:val="Liste2"/>
      </w:pPr>
      <w:r>
        <w:t>En amont</w:t>
      </w:r>
    </w:p>
    <w:p w:rsidR="00361802" w:rsidRDefault="00361802" w:rsidP="00361802">
      <w:r>
        <w:t xml:space="preserve">Les réseaux existants route de </w:t>
      </w:r>
      <w:proofErr w:type="spellStart"/>
      <w:r>
        <w:t>thionville</w:t>
      </w:r>
      <w:proofErr w:type="spellEnd"/>
      <w:r>
        <w:t>.</w:t>
      </w:r>
    </w:p>
    <w:p w:rsidR="00361802" w:rsidRDefault="00361802" w:rsidP="00361802"/>
    <w:p w:rsidR="00361802" w:rsidRDefault="00361802" w:rsidP="00361802">
      <w:r w:rsidRPr="00BC6C77">
        <w:rPr>
          <w:b/>
        </w:rPr>
        <w:t>VEOLIA</w:t>
      </w:r>
      <w:r>
        <w:t xml:space="preserve"> réalise le piquage sur l’existant route de Thionville.</w:t>
      </w:r>
    </w:p>
    <w:p w:rsidR="00361802" w:rsidRDefault="00361802" w:rsidP="00361802">
      <w:pPr>
        <w:pStyle w:val="Liste2"/>
      </w:pPr>
      <w:r>
        <w:t>En aval</w:t>
      </w:r>
    </w:p>
    <w:p w:rsidR="00361802" w:rsidRDefault="00361802" w:rsidP="00361802">
      <w:r>
        <w:lastRenderedPageBreak/>
        <w:t>Les branchements particuliers ; y compris les raccordements aux dispositifs de comptage implantés dans le citerneau en limite de propriété plus la liaison compteur jusqu'à la maison y compris raccordements aux extrémités.</w:t>
      </w:r>
    </w:p>
    <w:p w:rsidR="00361802" w:rsidRDefault="00361802" w:rsidP="00361802"/>
    <w:p w:rsidR="00361802" w:rsidRDefault="00361802" w:rsidP="00361802">
      <w:pPr>
        <w:rPr>
          <w:rFonts w:ascii="Book Antiqua" w:hAnsi="Book Antiqua"/>
          <w:sz w:val="24"/>
        </w:rPr>
      </w:pPr>
      <w:r>
        <w:t>Dans le cadre du projet une réserve incendie de 120m3</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16"/>
        </w:rPr>
      </w:pPr>
      <w:bookmarkStart w:id="13" w:name="_Toc1452062"/>
      <w:bookmarkStart w:id="14" w:name="_Toc323307693"/>
      <w:r>
        <w:t>DOCUMENTS GRAPHIQUES</w:t>
      </w:r>
      <w:bookmarkEnd w:id="13"/>
      <w:bookmarkEnd w:id="14"/>
    </w:p>
    <w:p w:rsidR="00361802" w:rsidRDefault="00361802" w:rsidP="00361802">
      <w:pPr>
        <w:pStyle w:val="Listepuces2"/>
      </w:pPr>
      <w:r>
        <w:t>Plan réseau d'eau.</w:t>
      </w:r>
    </w:p>
    <w:p w:rsidR="00361802" w:rsidRDefault="00361802" w:rsidP="00361802">
      <w:pPr>
        <w:pStyle w:val="Listepuces2"/>
        <w:numPr>
          <w:ilvl w:val="0"/>
          <w:numId w:val="0"/>
        </w:numPr>
        <w:ind w:left="643"/>
      </w:pPr>
    </w:p>
    <w:p w:rsidR="00361802" w:rsidRDefault="00361802" w:rsidP="00361802">
      <w:pPr>
        <w:pStyle w:val="Listepuces2"/>
        <w:rPr>
          <w:rFonts w:ascii="Book Antiqua" w:hAnsi="Book Antiqua"/>
          <w:sz w:val="24"/>
        </w:rPr>
      </w:pPr>
      <w:r>
        <w:t>Plan altimétrie.</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16"/>
        </w:rPr>
      </w:pPr>
      <w:bookmarkStart w:id="15" w:name="_Toc1452063"/>
      <w:bookmarkStart w:id="16" w:name="_Toc323307694"/>
      <w:r>
        <w:t>CARACTERISTIQUES DES CANALISATIONS</w:t>
      </w:r>
      <w:bookmarkEnd w:id="15"/>
      <w:bookmarkEnd w:id="16"/>
    </w:p>
    <w:p w:rsidR="00361802" w:rsidRDefault="00361802" w:rsidP="00361802">
      <w:pPr>
        <w:pStyle w:val="Titre3"/>
        <w:keepNext/>
        <w:numPr>
          <w:ilvl w:val="2"/>
          <w:numId w:val="0"/>
        </w:numPr>
        <w:tabs>
          <w:tab w:val="left" w:pos="567"/>
          <w:tab w:val="num" w:pos="720"/>
        </w:tabs>
        <w:spacing w:before="240" w:after="240" w:line="240" w:lineRule="auto"/>
        <w:ind w:left="720" w:hanging="720"/>
      </w:pPr>
      <w:r>
        <w:tab/>
      </w:r>
      <w:bookmarkStart w:id="17" w:name="_Toc323307695"/>
      <w:r>
        <w:t>Canalisation polyéthylène</w:t>
      </w:r>
      <w:bookmarkEnd w:id="17"/>
    </w:p>
    <w:p w:rsidR="00361802" w:rsidRDefault="00361802" w:rsidP="00361802">
      <w:r>
        <w:t>Les canalisations en polyéthylène répondront aux spécifications de la norme française NF T 54.063. Spécifications et Méthodes d’essais des tubes polyéthylène haute densité (HD) série 12,5 ou 16 bars.</w:t>
      </w:r>
    </w:p>
    <w:p w:rsidR="00361802" w:rsidRDefault="00361802" w:rsidP="00361802"/>
    <w:p w:rsidR="00361802" w:rsidRDefault="00361802" w:rsidP="00361802">
      <w:pPr>
        <w:rPr>
          <w:rFonts w:ascii="Book Antiqua" w:hAnsi="Book Antiqua"/>
          <w:sz w:val="24"/>
        </w:rPr>
      </w:pPr>
      <w:r>
        <w:t xml:space="preserve">Les tubes et pièces spéciales ou de robinetterie seront assemblés par manchons à électro-soudables (type FRIALITE ou équivalent) dans les diamètres inférieures ou égaux à </w:t>
      </w:r>
      <w:smartTag w:uri="urn:schemas-microsoft-com:office:smarttags" w:element="metricconverter">
        <w:smartTagPr>
          <w:attr w:name="ProductID" w:val="250ﾠmm"/>
        </w:smartTagPr>
        <w:r>
          <w:t>250 mm</w:t>
        </w:r>
      </w:smartTag>
      <w:r>
        <w:t xml:space="preserve"> et par </w:t>
      </w:r>
      <w:proofErr w:type="spellStart"/>
      <w:r>
        <w:t>polyfusion</w:t>
      </w:r>
      <w:proofErr w:type="spellEnd"/>
      <w:r>
        <w:t xml:space="preserve"> dans les diamètres plus importants.</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18" w:name="_Toc1452064"/>
      <w:bookmarkStart w:id="19" w:name="_Toc323307696"/>
      <w:r>
        <w:t>DESCRIPTION DES OUVRAGES</w:t>
      </w:r>
      <w:bookmarkEnd w:id="18"/>
      <w:bookmarkEnd w:id="19"/>
    </w:p>
    <w:p w:rsidR="00361802" w:rsidRDefault="00361802" w:rsidP="00361802">
      <w:r>
        <w:t>Les ouvrages à établir comprennent essentiellement :</w:t>
      </w:r>
    </w:p>
    <w:p w:rsidR="00361802" w:rsidRDefault="00361802" w:rsidP="00361802"/>
    <w:p w:rsidR="00361802" w:rsidRPr="002C487E" w:rsidRDefault="00361802" w:rsidP="00361802">
      <w:pPr>
        <w:pStyle w:val="Listepuces"/>
        <w:rPr>
          <w:sz w:val="12"/>
        </w:rPr>
      </w:pPr>
      <w:r>
        <w:t>Des canalisations Ø 100, en Fonte Natural</w:t>
      </w:r>
    </w:p>
    <w:p w:rsidR="00361802" w:rsidRDefault="00361802" w:rsidP="00361802">
      <w:pPr>
        <w:pStyle w:val="Listepuces"/>
        <w:rPr>
          <w:sz w:val="12"/>
        </w:rPr>
      </w:pPr>
      <w:r>
        <w:t>Des canalisations Ø 80, en PEHD</w:t>
      </w:r>
    </w:p>
    <w:p w:rsidR="00361802" w:rsidRDefault="00361802" w:rsidP="00361802">
      <w:pPr>
        <w:pStyle w:val="Listepuces"/>
        <w:rPr>
          <w:sz w:val="12"/>
        </w:rPr>
      </w:pPr>
      <w:r>
        <w:t>La fourniture et la pose de vannes, vidanges, bouches à clé, qui seront de type agréé par les Services Techniques du Syndicat Intercommunal.</w:t>
      </w:r>
    </w:p>
    <w:p w:rsidR="00361802" w:rsidRDefault="00361802" w:rsidP="00361802">
      <w:pPr>
        <w:pStyle w:val="Listepuces"/>
        <w:rPr>
          <w:sz w:val="12"/>
        </w:rPr>
      </w:pPr>
      <w:r>
        <w:t>Les branchements en PEHD bande bleue 19/25, Ø 31/40 et Ø 40/50 entre la conduite principale et le citerneau monobloc de comptage ou le dispositif de comptage à l’intérieur des garages.</w:t>
      </w:r>
    </w:p>
    <w:p w:rsidR="00361802" w:rsidRDefault="00361802" w:rsidP="00361802">
      <w:pPr>
        <w:pStyle w:val="Listepuces"/>
        <w:rPr>
          <w:sz w:val="12"/>
        </w:rPr>
      </w:pPr>
      <w:r>
        <w:t>Les branchements entre le compteur jusqu'à la façade de la maison en polyéthylène haute densité 19/25, Ø 31/40 et Ø 40/50 série 16 bars.</w:t>
      </w:r>
    </w:p>
    <w:p w:rsidR="00361802" w:rsidRPr="00AE18D5" w:rsidRDefault="00361802" w:rsidP="00361802">
      <w:pPr>
        <w:pStyle w:val="Listepuces"/>
        <w:rPr>
          <w:sz w:val="12"/>
        </w:rPr>
      </w:pPr>
      <w:r>
        <w:t xml:space="preserve">Le citerneau de comptage agréé par les Services Techniques du Syndicat Intercommunal. </w:t>
      </w:r>
    </w:p>
    <w:p w:rsidR="00361802" w:rsidRDefault="00361802" w:rsidP="00361802">
      <w:pPr>
        <w:pStyle w:val="Listepuces"/>
      </w:pPr>
    </w:p>
    <w:p w:rsidR="00361802" w:rsidRDefault="00361802" w:rsidP="00361802">
      <w:pPr>
        <w:pStyle w:val="Listepuces2"/>
      </w:pPr>
      <w:r>
        <w:t>La confection des plans de récolement comprenant un contre-calque et quatre tirages (échelle 1/200ème) y compris plans de détail et schémas spéciaux.</w:t>
      </w:r>
    </w:p>
    <w:p w:rsidR="00361802" w:rsidRDefault="00361802" w:rsidP="00361802">
      <w:pPr>
        <w:pStyle w:val="Listepuces2"/>
      </w:pPr>
      <w:r>
        <w:t>La fourniture et pose de vannes, vidanges, ventouses, bouches à clé.</w:t>
      </w:r>
    </w:p>
    <w:p w:rsidR="00361802" w:rsidRPr="00AE18D5" w:rsidRDefault="00361802" w:rsidP="00361802"/>
    <w:p w:rsidR="00361802" w:rsidRDefault="00361802" w:rsidP="00361802">
      <w:pPr>
        <w:pStyle w:val="Listepuces2"/>
        <w:rPr>
          <w:rFonts w:ascii="Book Antiqua" w:hAnsi="Book Antiqua"/>
          <w:sz w:val="24"/>
        </w:rPr>
      </w:pPr>
      <w:r>
        <w:t xml:space="preserve">Le branchement individuel en PEHD bande bleue 19/25 depuis la conduite principale jusqu'au citerneau, y compris le citerneau (abri compteur : regard pour compteur de 20 ou </w:t>
      </w:r>
      <w:smartTag w:uri="urn:schemas-microsoft-com:office:smarttags" w:element="metricconverter">
        <w:smartTagPr>
          <w:attr w:name="ProductID" w:val="30 mm"/>
        </w:smartTagPr>
        <w:r>
          <w:t>30 mm</w:t>
        </w:r>
      </w:smartTag>
      <w:r>
        <w:t xml:space="preserve"> (700 x 400 intérieur), complet avec tampon carrossable pré-équipé robinet d’arrêt clapet anti-retour et calorifugeage compris), les pièces de raccord, les pièces spéciales, réducteur de pression et clapet si nécessaire.</w:t>
      </w:r>
    </w:p>
    <w:p w:rsidR="00361802" w:rsidRDefault="00361802" w:rsidP="00361802"/>
    <w:p w:rsidR="00361802" w:rsidRDefault="00361802" w:rsidP="00361802">
      <w:bookmarkStart w:id="20" w:name="_Toc147823218"/>
      <w:bookmarkStart w:id="21" w:name="_Toc148244861"/>
      <w:bookmarkStart w:id="22" w:name="_Toc149039692"/>
      <w:bookmarkStart w:id="23" w:name="_Toc258318457"/>
      <w:bookmarkStart w:id="24" w:name="_Toc323307698"/>
      <w:bookmarkEnd w:id="20"/>
      <w:bookmarkEnd w:id="21"/>
      <w:bookmarkEnd w:id="22"/>
      <w:bookmarkEnd w:id="23"/>
      <w:bookmarkEnd w:id="24"/>
      <w:r>
        <w:br w:type="page"/>
      </w:r>
    </w:p>
    <w:p w:rsidR="00361802" w:rsidRDefault="00361802" w:rsidP="00361802">
      <w:pPr>
        <w:pStyle w:val="Titre1"/>
      </w:pPr>
      <w:bookmarkStart w:id="25" w:name="_Toc147823229"/>
      <w:bookmarkStart w:id="26" w:name="_Toc148244872"/>
      <w:bookmarkStart w:id="27" w:name="_Toc149039703"/>
      <w:bookmarkStart w:id="28" w:name="_Toc258318468"/>
      <w:bookmarkStart w:id="29" w:name="_Toc323307708"/>
      <w:bookmarkStart w:id="30" w:name="_Toc1452079"/>
      <w:bookmarkStart w:id="31" w:name="_Toc323307709"/>
      <w:bookmarkEnd w:id="25"/>
      <w:bookmarkEnd w:id="26"/>
      <w:bookmarkEnd w:id="27"/>
      <w:bookmarkEnd w:id="28"/>
      <w:bookmarkEnd w:id="29"/>
      <w:r>
        <w:lastRenderedPageBreak/>
        <w:t>EXECUTION DES TRAVAUX</w:t>
      </w:r>
      <w:bookmarkEnd w:id="30"/>
      <w:bookmarkEnd w:id="31"/>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32" w:name="_Toc1452080"/>
      <w:bookmarkStart w:id="33" w:name="_Toc323307710"/>
      <w:r>
        <w:t>PREPARATION DU FOND DE FORME</w:t>
      </w:r>
      <w:bookmarkEnd w:id="32"/>
      <w:bookmarkEnd w:id="33"/>
    </w:p>
    <w:p w:rsidR="00361802" w:rsidRDefault="00361802" w:rsidP="00361802">
      <w:r>
        <w:t>La tranchée technique faisant l'objet d'un marché séparé, l'entreprise, s'assurera que le fond de la tranchée offre une résistance homogène et y remédiera si cette condition n'est pas remplie par adaptation de la tranchée technique.</w:t>
      </w:r>
    </w:p>
    <w:p w:rsidR="00361802" w:rsidRDefault="00361802" w:rsidP="00361802"/>
    <w:p w:rsidR="00361802" w:rsidRDefault="00361802" w:rsidP="00361802">
      <w:r>
        <w:t xml:space="preserve">En particulier, elle fera araser à </w:t>
      </w:r>
      <w:smartTag w:uri="urn:schemas-microsoft-com:office:smarttags" w:element="metricconverter">
        <w:smartTagPr>
          <w:attr w:name="ProductID" w:val="10 cm"/>
        </w:smartTagPr>
        <w:r>
          <w:t>10 cm</w:t>
        </w:r>
      </w:smartTag>
      <w:r>
        <w:t xml:space="preserve"> en </w:t>
      </w:r>
      <w:proofErr w:type="spellStart"/>
      <w:r>
        <w:t>contre-bas</w:t>
      </w:r>
      <w:proofErr w:type="spellEnd"/>
      <w:r>
        <w:t xml:space="preserve"> de la tranchée toutes les maçonneries s'y trouvant, purgera toutes les parties de sol inconsistantes et comblera le vide ainsi créé au moyen de tout venant et procédera aux adaptations éventuelles de la tranchée réalisée en particulier pour la confection des niches.</w:t>
      </w:r>
    </w:p>
    <w:p w:rsidR="00361802" w:rsidRDefault="00361802" w:rsidP="00361802"/>
    <w:p w:rsidR="00361802" w:rsidRDefault="00361802" w:rsidP="00361802">
      <w:pPr>
        <w:rPr>
          <w:rFonts w:ascii="Book Antiqua" w:hAnsi="Book Antiqua"/>
          <w:sz w:val="24"/>
        </w:rPr>
      </w:pPr>
      <w:r>
        <w:t xml:space="preserve">La tolérance sur le réglage du fond de la tranchée sera de </w:t>
      </w:r>
      <w:smartTag w:uri="urn:schemas-microsoft-com:office:smarttags" w:element="metricconverter">
        <w:smartTagPr>
          <w:attr w:name="ProductID" w:val="2 cm"/>
        </w:smartTagPr>
        <w:r>
          <w:t>2 cm</w:t>
        </w:r>
      </w:smartTag>
      <w:r>
        <w:t xml:space="preserve"> en plus ou en moins.</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34" w:name="_Toc1452081"/>
      <w:bookmarkStart w:id="35" w:name="_Toc323307711"/>
      <w:r>
        <w:t>LIT DE SABLE</w:t>
      </w:r>
      <w:bookmarkEnd w:id="34"/>
      <w:bookmarkEnd w:id="35"/>
    </w:p>
    <w:p w:rsidR="00361802" w:rsidRDefault="00361802" w:rsidP="00361802">
      <w:r>
        <w:t xml:space="preserve">Les canalisations circulaires seront posées sur lit de terrain meuble ou de sable de </w:t>
      </w:r>
      <w:smartTag w:uri="urn:schemas-microsoft-com:office:smarttags" w:element="metricconverter">
        <w:smartTagPr>
          <w:attr w:name="ProductID" w:val="0,20 m"/>
        </w:smartTagPr>
        <w:r>
          <w:t>0,20 m</w:t>
        </w:r>
      </w:smartTag>
      <w:r>
        <w:t xml:space="preserve"> d</w:t>
      </w:r>
      <w:smartTag w:uri="urn:schemas-microsoft-com:office:smarttags" w:element="PersonName">
        <w:r>
          <w:t>'</w:t>
        </w:r>
      </w:smartTag>
      <w:r>
        <w:t>épaisseur.</w:t>
      </w:r>
    </w:p>
    <w:p w:rsidR="00361802" w:rsidRDefault="00361802" w:rsidP="00361802"/>
    <w:p w:rsidR="00361802" w:rsidRDefault="00361802" w:rsidP="00361802">
      <w:pPr>
        <w:rPr>
          <w:rFonts w:ascii="Book Antiqua" w:hAnsi="Book Antiqua"/>
          <w:sz w:val="24"/>
        </w:rPr>
      </w:pPr>
      <w:r>
        <w:t xml:space="preserve">Après pose, la canalisation sera enrobée de </w:t>
      </w:r>
      <w:smartTag w:uri="urn:schemas-microsoft-com:office:smarttags" w:element="metricconverter">
        <w:smartTagPr>
          <w:attr w:name="ProductID" w:val="0,20 m"/>
        </w:smartTagPr>
        <w:r>
          <w:t>0,20 m</w:t>
        </w:r>
      </w:smartTag>
      <w:r>
        <w:t xml:space="preserve"> de sable.</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36" w:name="_Toc1452082"/>
      <w:bookmarkStart w:id="37" w:name="_Toc323307712"/>
      <w:r>
        <w:t>FOURNITURE ET POSE DES CANALISATIONS</w:t>
      </w:r>
      <w:bookmarkEnd w:id="36"/>
      <w:bookmarkEnd w:id="37"/>
    </w:p>
    <w:p w:rsidR="00361802" w:rsidRDefault="00361802" w:rsidP="00361802">
      <w:r>
        <w:t xml:space="preserve">Elles seront en PVC Pression Ø 160, Ø 90, Ø </w:t>
      </w:r>
      <w:smartTag w:uri="urn:schemas-microsoft-com:office:smarttags" w:element="metricconverter">
        <w:smartTagPr>
          <w:attr w:name="ProductID" w:val="63 mm"/>
        </w:smartTagPr>
        <w:r>
          <w:t>63 mm</w:t>
        </w:r>
      </w:smartTag>
      <w:r>
        <w:t xml:space="preserve"> 10 bars pour le réseau et en polyéthylène haute densité PEHD PN 16 bars pour les conduites de branchement de diamètres 40/50 et 19/25 y compris pièces de raccord électro-soudé de type FRIALITE ou équivalent.</w:t>
      </w:r>
    </w:p>
    <w:p w:rsidR="00361802" w:rsidRDefault="00361802" w:rsidP="00361802"/>
    <w:p w:rsidR="00361802" w:rsidRDefault="00361802" w:rsidP="00361802">
      <w:r>
        <w:t>L'entreprise comprendra :</w:t>
      </w:r>
    </w:p>
    <w:p w:rsidR="00361802" w:rsidRDefault="00361802" w:rsidP="00361802"/>
    <w:p w:rsidR="00361802" w:rsidRDefault="00361802" w:rsidP="00361802">
      <w:pPr>
        <w:pStyle w:val="Listepuces"/>
      </w:pPr>
      <w:r>
        <w:t>la fourniture et pose des canalisations à fond de fouilles, ainsi que leurs pièces de raccords pression, telles que plaques pleines, tés, coudes, manchons bouts unis, les pièces de raccord à joint mécanique.</w:t>
      </w:r>
    </w:p>
    <w:p w:rsidR="00361802" w:rsidRDefault="00361802" w:rsidP="00361802">
      <w:pPr>
        <w:pStyle w:val="Listepuces"/>
      </w:pPr>
      <w:r>
        <w:t>La façon des joints, toutes fournitures nécessaires.</w:t>
      </w:r>
    </w:p>
    <w:p w:rsidR="00361802" w:rsidRDefault="00361802" w:rsidP="00361802">
      <w:pPr>
        <w:pStyle w:val="Listepuces"/>
      </w:pPr>
      <w:r>
        <w:t>La mise en place de butées en béton.</w:t>
      </w:r>
    </w:p>
    <w:p w:rsidR="00361802" w:rsidRDefault="00361802" w:rsidP="00361802">
      <w:pPr>
        <w:pStyle w:val="Listepuces"/>
      </w:pPr>
      <w:r>
        <w:t>La mise en pression et l'essai des conduites.</w:t>
      </w:r>
    </w:p>
    <w:p w:rsidR="00361802" w:rsidRDefault="00361802" w:rsidP="00361802">
      <w:pPr>
        <w:pStyle w:val="Listepuces"/>
        <w:rPr>
          <w:rFonts w:ascii="Book Antiqua" w:hAnsi="Book Antiqua"/>
          <w:sz w:val="24"/>
        </w:rPr>
      </w:pPr>
      <w:r>
        <w:t>La protection des joints et des canalisations contre la corrosion.</w:t>
      </w:r>
    </w:p>
    <w:p w:rsidR="00361802" w:rsidRDefault="00361802" w:rsidP="00361802">
      <w:r>
        <w:t>Les prix de fourniture et pose s'appliqueront aux longueurs mesurées suivant l'axe des canalisations sans réduction de longueurs pour raccords.</w:t>
      </w:r>
    </w:p>
    <w:p w:rsidR="00361802" w:rsidRDefault="00361802" w:rsidP="00361802"/>
    <w:p w:rsidR="00361802" w:rsidRDefault="00361802" w:rsidP="00361802">
      <w:r>
        <w:t>Ces prix tiennent compte du transport sur place, reprise, fourniture et façon des joints, sujétions pour coupe de tuyaux, essais, lavage et stérilisation des conduites avant mise en service, toutes les sujétions de franchissement de réseaux existants.</w:t>
      </w:r>
    </w:p>
    <w:p w:rsidR="00361802" w:rsidRDefault="00361802" w:rsidP="00361802"/>
    <w:p w:rsidR="00361802" w:rsidRDefault="00361802" w:rsidP="00361802">
      <w:pPr>
        <w:rPr>
          <w:rFonts w:ascii="Book Antiqua" w:hAnsi="Book Antiqua"/>
          <w:sz w:val="24"/>
        </w:rPr>
      </w:pPr>
      <w:r>
        <w:t>Les prix des raccords et pièces spéciales sont assimilés par équivalence métrique dans le prix du mètre linéaire des conduites.</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38" w:name="_Toc1452083"/>
      <w:bookmarkStart w:id="39" w:name="_Toc323307713"/>
      <w:r>
        <w:t>ROBINETTERIE ET ACCESSOIRES</w:t>
      </w:r>
      <w:bookmarkEnd w:id="38"/>
      <w:bookmarkEnd w:id="39"/>
    </w:p>
    <w:p w:rsidR="00361802" w:rsidRDefault="00361802" w:rsidP="00361802">
      <w:r>
        <w:t>L'entrepreneur n'aura pas la possibilité de proposer dans sa soumission un matériel de robinetterie de son choix.</w:t>
      </w:r>
    </w:p>
    <w:p w:rsidR="00361802" w:rsidRDefault="00361802" w:rsidP="00361802"/>
    <w:p w:rsidR="00361802" w:rsidRDefault="00361802" w:rsidP="00361802">
      <w:r>
        <w:t>Il devra indiquer avec précision, en annexe à sa proposition, le type et la marque des appareils qu'il compte employer.</w:t>
      </w:r>
    </w:p>
    <w:p w:rsidR="00361802" w:rsidRDefault="00361802" w:rsidP="00361802"/>
    <w:p w:rsidR="00361802" w:rsidRDefault="00361802" w:rsidP="00361802">
      <w:pPr>
        <w:rPr>
          <w:rFonts w:ascii="Book Antiqua" w:hAnsi="Book Antiqua"/>
          <w:sz w:val="24"/>
        </w:rPr>
      </w:pPr>
      <w:r>
        <w:t>Dans tous les cas, ces appareils devront être des marques agréées par la compagnie concessionnaire.</w:t>
      </w:r>
    </w:p>
    <w:p w:rsidR="00361802" w:rsidRDefault="00361802" w:rsidP="00361802">
      <w:pPr>
        <w:pStyle w:val="Liste2"/>
        <w:rPr>
          <w:rFonts w:ascii="Book Antiqua" w:hAnsi="Book Antiqua"/>
          <w:sz w:val="16"/>
        </w:rPr>
      </w:pPr>
      <w:r>
        <w:t>a) Robinets vannes</w:t>
      </w:r>
    </w:p>
    <w:p w:rsidR="00361802" w:rsidRDefault="00361802" w:rsidP="00361802">
      <w:r>
        <w:t xml:space="preserve">Les robinets vannes seront de type agréé par la compagnie concessionnaire de diamètre </w:t>
      </w:r>
    </w:p>
    <w:p w:rsidR="00361802" w:rsidRDefault="00361802" w:rsidP="00361802">
      <w:smartTag w:uri="urn:schemas-microsoft-com:office:smarttags" w:element="metricconverter">
        <w:smartTagPr>
          <w:attr w:name="ProductID" w:val="160 mm"/>
        </w:smartTagPr>
        <w:r>
          <w:t>160 mm</w:t>
        </w:r>
      </w:smartTag>
      <w:r>
        <w:t xml:space="preserve">, </w:t>
      </w:r>
      <w:smartTag w:uri="urn:schemas-microsoft-com:office:smarttags" w:element="metricconverter">
        <w:smartTagPr>
          <w:attr w:name="ProductID" w:val="90 mm"/>
        </w:smartTagPr>
        <w:r>
          <w:t>90 mm</w:t>
        </w:r>
      </w:smartTag>
      <w:r>
        <w:t xml:space="preserve"> du type à passage direct et opercule surmonté en élastomère, du type OCA conformes aux normes européennes.</w:t>
      </w:r>
    </w:p>
    <w:p w:rsidR="00361802" w:rsidRDefault="00361802" w:rsidP="00361802"/>
    <w:p w:rsidR="00361802" w:rsidRDefault="00361802" w:rsidP="00361802">
      <w:r>
        <w:t>L'entreprise comprendra :</w:t>
      </w:r>
    </w:p>
    <w:p w:rsidR="00361802" w:rsidRDefault="00361802" w:rsidP="00361802"/>
    <w:p w:rsidR="00361802" w:rsidRDefault="00361802" w:rsidP="00361802">
      <w:pPr>
        <w:pStyle w:val="Listepuces"/>
      </w:pPr>
      <w:r>
        <w:t>La fourniture et pose proprement dite de l’appareil, de forme hexagonale pour le réseau et ronde pour les branchements.</w:t>
      </w:r>
    </w:p>
    <w:p w:rsidR="00361802" w:rsidRDefault="00361802" w:rsidP="00361802">
      <w:pPr>
        <w:pStyle w:val="Listepuces"/>
      </w:pPr>
      <w:r>
        <w:t>La façon des niches.</w:t>
      </w:r>
    </w:p>
    <w:p w:rsidR="00361802" w:rsidRDefault="00361802" w:rsidP="00361802">
      <w:pPr>
        <w:pStyle w:val="Listepuces"/>
      </w:pPr>
      <w:r>
        <w:t>La façon des joints genre PERFLEX y compris leur fourniture, raccords à bride démontable.</w:t>
      </w:r>
    </w:p>
    <w:p w:rsidR="00361802" w:rsidRDefault="00361802" w:rsidP="00361802">
      <w:pPr>
        <w:pStyle w:val="Listepuces"/>
        <w:rPr>
          <w:rFonts w:ascii="Book Antiqua" w:hAnsi="Book Antiqua"/>
          <w:sz w:val="24"/>
        </w:rPr>
      </w:pPr>
      <w:r>
        <w:t>La protection de l'ensemble contre la corrosion.</w:t>
      </w:r>
    </w:p>
    <w:p w:rsidR="00361802" w:rsidRDefault="00361802" w:rsidP="00361802">
      <w:pPr>
        <w:pStyle w:val="Liste2"/>
        <w:rPr>
          <w:rFonts w:ascii="Book Antiqua" w:hAnsi="Book Antiqua"/>
          <w:sz w:val="24"/>
        </w:rPr>
      </w:pPr>
      <w:r>
        <w:t>b) Robinet de prise en charge</w:t>
      </w:r>
    </w:p>
    <w:p w:rsidR="00361802" w:rsidRDefault="00361802" w:rsidP="00361802">
      <w:r>
        <w:t>Ils seront de type agréé par la Commune.</w:t>
      </w:r>
    </w:p>
    <w:p w:rsidR="00361802" w:rsidRDefault="00361802" w:rsidP="00361802">
      <w:pPr>
        <w:rPr>
          <w:rFonts w:ascii="Book Antiqua" w:hAnsi="Book Antiqua"/>
        </w:rPr>
      </w:pPr>
      <w:r>
        <w:t>L’entreprise comprendra la fourniture et la pose de branchement par té à 2 emboitures ; 1 bride et vanne y compris toutes sujétions pour façon des joints et perçage de la canalisation principale.</w:t>
      </w:r>
    </w:p>
    <w:p w:rsidR="00361802" w:rsidRDefault="00361802" w:rsidP="00361802">
      <w:pPr>
        <w:pStyle w:val="Liste2"/>
        <w:rPr>
          <w:rFonts w:ascii="Book Antiqua" w:hAnsi="Book Antiqua"/>
        </w:rPr>
      </w:pPr>
      <w:r>
        <w:t>c) Purges et vidanges</w:t>
      </w:r>
    </w:p>
    <w:p w:rsidR="00361802" w:rsidRDefault="00361802" w:rsidP="00361802">
      <w:pPr>
        <w:rPr>
          <w:rFonts w:ascii="Book Antiqua" w:hAnsi="Book Antiqua"/>
        </w:rPr>
      </w:pPr>
      <w:r>
        <w:t>Elles seront de type agréé par la compagnie concessionnaire.</w:t>
      </w:r>
    </w:p>
    <w:p w:rsidR="00361802" w:rsidRDefault="00361802" w:rsidP="00361802">
      <w:pPr>
        <w:pStyle w:val="Liste2"/>
        <w:rPr>
          <w:rFonts w:ascii="Book Antiqua" w:hAnsi="Book Antiqua"/>
        </w:rPr>
      </w:pPr>
      <w:r>
        <w:t>d) Bouches à clé</w:t>
      </w:r>
    </w:p>
    <w:p w:rsidR="00361802" w:rsidRDefault="00361802" w:rsidP="00361802">
      <w:r>
        <w:t xml:space="preserve">Elles seront de type agréé par la compagnie concessionnaire série </w:t>
      </w:r>
      <w:smartTag w:uri="urn:schemas-microsoft-com:office:smarttags" w:element="metricconverter">
        <w:smartTagPr>
          <w:attr w:name="ProductID" w:val="10 kg"/>
        </w:smartTagPr>
        <w:r>
          <w:t>10 kg</w:t>
        </w:r>
      </w:smartTag>
      <w:r>
        <w:t>.</w:t>
      </w:r>
    </w:p>
    <w:p w:rsidR="00361802" w:rsidRDefault="00361802" w:rsidP="00361802"/>
    <w:p w:rsidR="00361802" w:rsidRDefault="00361802" w:rsidP="00361802">
      <w:r>
        <w:t>L'entreprise comprendra :</w:t>
      </w:r>
    </w:p>
    <w:p w:rsidR="00361802" w:rsidRDefault="00361802" w:rsidP="00361802"/>
    <w:p w:rsidR="00361802" w:rsidRDefault="00361802" w:rsidP="00361802">
      <w:pPr>
        <w:pStyle w:val="Listepuces"/>
      </w:pPr>
      <w:r>
        <w:t>La fourniture à pied d'</w:t>
      </w:r>
      <w:proofErr w:type="spellStart"/>
      <w:r>
        <w:t>oeuvre</w:t>
      </w:r>
      <w:proofErr w:type="spellEnd"/>
      <w:r>
        <w:t xml:space="preserve"> de la bouche à clé et du tube allonge.</w:t>
      </w:r>
    </w:p>
    <w:p w:rsidR="00361802" w:rsidRDefault="00361802" w:rsidP="00361802">
      <w:pPr>
        <w:pStyle w:val="Listepuces"/>
      </w:pPr>
      <w:r>
        <w:t>La fourniture du tabernacle en fonte.</w:t>
      </w:r>
    </w:p>
    <w:p w:rsidR="00361802" w:rsidRDefault="00361802" w:rsidP="00361802">
      <w:pPr>
        <w:pStyle w:val="Listepuces"/>
      </w:pPr>
      <w:r>
        <w:t>La pose de la bouche à clé, du tube allonge PVC, leur calage et toutes sujétions.</w:t>
      </w:r>
    </w:p>
    <w:p w:rsidR="00361802" w:rsidRDefault="00361802" w:rsidP="00361802">
      <w:pPr>
        <w:pStyle w:val="Listepuces"/>
      </w:pPr>
      <w:r>
        <w:t>La confection du massif de protection en béton autour de la tête égale à 3 fois le diamètre de la tête.</w:t>
      </w:r>
    </w:p>
    <w:p w:rsidR="00361802" w:rsidRDefault="00361802" w:rsidP="00361802">
      <w:pPr>
        <w:pStyle w:val="Listepuces"/>
        <w:rPr>
          <w:rFonts w:ascii="Book Antiqua" w:hAnsi="Book Antiqua"/>
        </w:rPr>
      </w:pPr>
      <w:r>
        <w:t>La ou les mises à niveau après réalisation définitive de la voirie, mais avant l'exécution du revêtement définitif sera réalisée par l'entreprise de voirie.</w:t>
      </w:r>
    </w:p>
    <w:p w:rsidR="00361802" w:rsidRPr="00780F77" w:rsidRDefault="00361802" w:rsidP="00361802">
      <w:pPr>
        <w:pStyle w:val="Listepuces"/>
        <w:rPr>
          <w:rFonts w:ascii="Book Antiqua" w:hAnsi="Book Antiqua"/>
          <w:sz w:val="24"/>
        </w:rPr>
      </w:pPr>
      <w:r>
        <w:br w:type="page"/>
      </w:r>
      <w:r w:rsidRPr="00780F77">
        <w:lastRenderedPageBreak/>
        <w:t>e) Poteau d’incendie</w:t>
      </w:r>
    </w:p>
    <w:p w:rsidR="00361802" w:rsidRDefault="00361802" w:rsidP="00361802">
      <w:pPr>
        <w:rPr>
          <w:rFonts w:ascii="Book Antiqua" w:hAnsi="Book Antiqua"/>
          <w:sz w:val="24"/>
        </w:rPr>
      </w:pPr>
      <w:r>
        <w:t xml:space="preserve">Il sera fourni et posé deux poteaux d’incendie de diamètre </w:t>
      </w:r>
      <w:smartTag w:uri="urn:schemas-microsoft-com:office:smarttags" w:element="metricconverter">
        <w:smartTagPr>
          <w:attr w:name="ProductID" w:val="100 mm"/>
        </w:smartTagPr>
        <w:r>
          <w:t>100 mm</w:t>
        </w:r>
      </w:smartTag>
      <w:r>
        <w:t xml:space="preserve">, type agrée par le Service Départemental de Protection contre l’incendie. L’entreprise comprendra la fourniture, la mise en place, le calage de l’appareil y compris manchette de </w:t>
      </w:r>
      <w:smartTag w:uri="urn:schemas-microsoft-com:office:smarttags" w:element="metricconverter">
        <w:smartTagPr>
          <w:attr w:name="ProductID" w:val="0,25 m"/>
        </w:smartTagPr>
        <w:r>
          <w:t>0,25 m</w:t>
        </w:r>
      </w:smartTag>
      <w:r>
        <w:t xml:space="preserve">. La vanne et la tête de bouche à clé, massif du poteau en béton et les esses de réglage ainsi que la conduite d’alimentation Ø </w:t>
      </w:r>
      <w:smartTag w:uri="urn:schemas-microsoft-com:office:smarttags" w:element="metricconverter">
        <w:smartTagPr>
          <w:attr w:name="ProductID" w:val="100 mm"/>
        </w:smartTagPr>
        <w:r>
          <w:t>100 mm</w:t>
        </w:r>
      </w:smartTag>
      <w:r>
        <w:t>.</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16"/>
        </w:rPr>
      </w:pPr>
      <w:bookmarkStart w:id="40" w:name="_Toc1452084"/>
      <w:bookmarkStart w:id="41" w:name="_Toc323307714"/>
      <w:r>
        <w:t>BRANCHEMENTS</w:t>
      </w:r>
      <w:bookmarkEnd w:id="40"/>
      <w:bookmarkEnd w:id="41"/>
    </w:p>
    <w:p w:rsidR="00361802" w:rsidRDefault="00361802" w:rsidP="00361802">
      <w:pPr>
        <w:pStyle w:val="Titre3"/>
        <w:keepNext/>
        <w:numPr>
          <w:ilvl w:val="2"/>
          <w:numId w:val="0"/>
        </w:numPr>
        <w:tabs>
          <w:tab w:val="left" w:pos="567"/>
          <w:tab w:val="num" w:pos="720"/>
        </w:tabs>
        <w:spacing w:before="240" w:after="240" w:line="240" w:lineRule="auto"/>
        <w:ind w:left="720" w:hanging="720"/>
      </w:pPr>
      <w:bookmarkStart w:id="42" w:name="_Toc323307715"/>
      <w:r>
        <w:t>Branchements individuels</w:t>
      </w:r>
      <w:bookmarkEnd w:id="42"/>
    </w:p>
    <w:p w:rsidR="00361802" w:rsidRDefault="00361802" w:rsidP="00361802">
      <w:pPr>
        <w:rPr>
          <w:sz w:val="16"/>
        </w:rPr>
      </w:pPr>
      <w:r>
        <w:t>Le branchement individuel depuis la conduite principale jusqu'au compteur placé le citerneau situé hors emprise publique, comprendront :</w:t>
      </w:r>
    </w:p>
    <w:p w:rsidR="00361802" w:rsidRDefault="00361802" w:rsidP="00361802">
      <w:pPr>
        <w:pStyle w:val="Listepuces"/>
      </w:pPr>
      <w:r>
        <w:t>La fourniture et pose de robinet d'arrêt avant compteur et après compteur avec purgeur, clapet, et les raccordements aux extrémités.</w:t>
      </w:r>
    </w:p>
    <w:p w:rsidR="00361802" w:rsidRDefault="00361802" w:rsidP="00361802">
      <w:pPr>
        <w:pStyle w:val="Listepuces"/>
        <w:rPr>
          <w:rFonts w:ascii="Book Antiqua" w:hAnsi="Book Antiqua"/>
          <w:sz w:val="24"/>
        </w:rPr>
      </w:pPr>
      <w:r>
        <w:t>Le réducteur de pression éventuel assurant une pression aval de 3 bars.</w:t>
      </w:r>
    </w:p>
    <w:p w:rsidR="00361802" w:rsidRDefault="00361802" w:rsidP="00361802">
      <w:r>
        <w:t>L'ensemble des dispositifs de branchement devra être conforme aux spécifications de la compagnie concessionnaire.</w:t>
      </w:r>
    </w:p>
    <w:p w:rsidR="00361802" w:rsidRDefault="00361802" w:rsidP="00361802">
      <w:pPr>
        <w:pStyle w:val="Titre3"/>
        <w:keepNext/>
        <w:numPr>
          <w:ilvl w:val="2"/>
          <w:numId w:val="0"/>
        </w:numPr>
        <w:tabs>
          <w:tab w:val="left" w:pos="567"/>
          <w:tab w:val="num" w:pos="720"/>
        </w:tabs>
        <w:spacing w:before="240" w:after="240" w:line="240" w:lineRule="auto"/>
        <w:ind w:left="720" w:hanging="720"/>
      </w:pPr>
      <w:r>
        <w:t xml:space="preserve"> </w:t>
      </w:r>
      <w:bookmarkStart w:id="43" w:name="_Toc323307716"/>
      <w:r>
        <w:t>Canalisation de branchement</w:t>
      </w:r>
      <w:bookmarkEnd w:id="43"/>
      <w:r>
        <w:t xml:space="preserve"> </w:t>
      </w:r>
    </w:p>
    <w:p w:rsidR="00361802" w:rsidRDefault="00361802" w:rsidP="00361802">
      <w:pPr>
        <w:pStyle w:val="Listepuces"/>
      </w:pPr>
      <w:r>
        <w:t>La fourniture et la pose de colliers type ROC de chez SOVAL ou BAYARD et de robinets de prise en charge de chez LIZAIGNE type 121, percé à décharge et boisseau inversé y compris bouche à clé.</w:t>
      </w:r>
    </w:p>
    <w:p w:rsidR="00361802" w:rsidRDefault="00361802" w:rsidP="00361802">
      <w:pPr>
        <w:pStyle w:val="Listepuces"/>
      </w:pPr>
      <w:r>
        <w:t>Tube tabernacle Réf. TTD 50.</w:t>
      </w:r>
    </w:p>
    <w:p w:rsidR="00361802" w:rsidRDefault="00361802" w:rsidP="00361802">
      <w:pPr>
        <w:pStyle w:val="Listepuces"/>
      </w:pPr>
      <w:r>
        <w:t>Tête de bouche à clé ronde, bouchon non percé (SFAR n° 6 ou TOTAL 71 de chez PONT A MOUSSON).</w:t>
      </w:r>
    </w:p>
    <w:p w:rsidR="00361802" w:rsidRDefault="00361802" w:rsidP="00361802">
      <w:pPr>
        <w:pStyle w:val="Listepuces"/>
      </w:pPr>
      <w:r>
        <w:t>La fourniture et la pose de canalisation de branchement en PEHD 19/25.</w:t>
      </w:r>
    </w:p>
    <w:p w:rsidR="00361802" w:rsidRDefault="00361802" w:rsidP="00361802">
      <w:pPr>
        <w:pStyle w:val="Listepuces"/>
      </w:pPr>
      <w:r>
        <w:t>Raccord du PEHD sur le robinet d’arrêt avant compteur.</w:t>
      </w:r>
    </w:p>
    <w:p w:rsidR="00361802" w:rsidRDefault="00361802" w:rsidP="00361802">
      <w:pPr>
        <w:pStyle w:val="Listepuces"/>
      </w:pPr>
      <w:r>
        <w:t>Le réducteur de pression éventuel assurant une pression aval de 3 bars.</w:t>
      </w:r>
    </w:p>
    <w:p w:rsidR="00361802" w:rsidRDefault="00361802" w:rsidP="00361802">
      <w:pPr>
        <w:pStyle w:val="Listepuces"/>
      </w:pPr>
      <w:r>
        <w:t xml:space="preserve">La fourniture et la pose du citerneau, comptage de type et dimension agréés par les Services Techniques du Syndicat Intercommunal. </w:t>
      </w:r>
    </w:p>
    <w:p w:rsidR="00361802" w:rsidRDefault="00361802" w:rsidP="00361802">
      <w:pPr>
        <w:pStyle w:val="Listepuces"/>
      </w:pPr>
      <w:r>
        <w:t>Les canalisations de branchement individuels après compteur seront réalisés en PEHD, bande bleue diamètre 19/25 mm série 16 bars.</w:t>
      </w:r>
    </w:p>
    <w:p w:rsidR="00361802" w:rsidRDefault="00361802" w:rsidP="00361802">
      <w:pPr>
        <w:pStyle w:val="Listepuces"/>
      </w:pPr>
      <w:r>
        <w:t>L’entreprise devra également la fourniture et la pose du robinet d’arrêt, le purgeur après compteur, le réducteur de pression individuel si nécessaire.</w:t>
      </w:r>
    </w:p>
    <w:p w:rsidR="00361802" w:rsidRDefault="00361802" w:rsidP="00361802">
      <w:pPr>
        <w:pStyle w:val="Titre2"/>
        <w:keepNext/>
        <w:numPr>
          <w:ilvl w:val="1"/>
          <w:numId w:val="0"/>
        </w:numPr>
        <w:tabs>
          <w:tab w:val="num" w:pos="1418"/>
          <w:tab w:val="right" w:pos="8789"/>
        </w:tabs>
        <w:spacing w:before="360" w:after="240" w:line="240" w:lineRule="auto"/>
        <w:jc w:val="left"/>
        <w:rPr>
          <w:rFonts w:ascii="Book Antiqua" w:hAnsi="Book Antiqua"/>
          <w:sz w:val="24"/>
        </w:rPr>
      </w:pPr>
      <w:bookmarkStart w:id="44" w:name="_Toc1452085"/>
      <w:bookmarkStart w:id="45" w:name="_Toc323307717"/>
      <w:r>
        <w:t>RACCORDEMENT SUR LES CANALISATIONS EXISTANTES</w:t>
      </w:r>
      <w:bookmarkEnd w:id="44"/>
      <w:bookmarkEnd w:id="45"/>
    </w:p>
    <w:p w:rsidR="00361802" w:rsidRDefault="00361802" w:rsidP="00361802">
      <w:r>
        <w:t>Le raccordement sur les conduites existantes sera réalisé par la compagnie concessionnaire.</w:t>
      </w:r>
    </w:p>
    <w:p w:rsidR="00361802" w:rsidRDefault="00361802" w:rsidP="00361802"/>
    <w:p w:rsidR="00361802" w:rsidRDefault="00361802" w:rsidP="00361802">
      <w:r>
        <w:t>Les coupures pour les raccordements aux réseaux existants ne pourront se faire qu'après accord de la compagnie concessionnaire et effectués par la compagnie concessionnaire aux frais de l'entrepreneur.</w:t>
      </w:r>
    </w:p>
    <w:p w:rsidR="00361802" w:rsidRDefault="00361802" w:rsidP="00361802"/>
    <w:p w:rsidR="00361802" w:rsidRDefault="00361802" w:rsidP="00361802">
      <w:pPr>
        <w:rPr>
          <w:rFonts w:ascii="Book Antiqua" w:hAnsi="Book Antiqua"/>
          <w:sz w:val="24"/>
        </w:rPr>
      </w:pPr>
      <w:r>
        <w:t>Les arrêts d'eau devront faire l'objet d'une demande écrite à la compagnie concessionnaire. Les travaux de piquage devront être réalisés par la compagnie concessionnaire aux frais de l'entrepreneur.</w:t>
      </w:r>
    </w:p>
    <w:sectPr w:rsidR="00361802" w:rsidSect="00361802">
      <w:footerReference w:type="default" r:id="rId7"/>
      <w:pgSz w:w="11907" w:h="16840"/>
      <w:pgMar w:top="1134" w:right="1134" w:bottom="1134" w:left="1134" w:header="851" w:footer="1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129" w:rsidRDefault="00385129" w:rsidP="00D43B6D">
      <w:r>
        <w:separator/>
      </w:r>
    </w:p>
  </w:endnote>
  <w:endnote w:type="continuationSeparator" w:id="0">
    <w:p w:rsidR="00385129" w:rsidRDefault="00385129" w:rsidP="00D43B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8F" w:rsidRDefault="00D43B6D" w:rsidP="008A44AE">
    <w:pPr>
      <w:pStyle w:val="Pieddepage"/>
    </w:pPr>
    <w:r>
      <w:fldChar w:fldCharType="begin"/>
    </w:r>
    <w:r w:rsidR="00361802">
      <w:instrText xml:space="preserve"> PAGE   \* MERGEFORMAT </w:instrText>
    </w:r>
    <w:r>
      <w:fldChar w:fldCharType="separate"/>
    </w:r>
    <w:r w:rsidR="001750B8">
      <w:rPr>
        <w:noProof/>
      </w:rPr>
      <w:t>6</w:t>
    </w:r>
    <w:r>
      <w:fldChar w:fldCharType="end"/>
    </w:r>
  </w:p>
  <w:p w:rsidR="0020008F" w:rsidRDefault="00385129" w:rsidP="008A44A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129" w:rsidRDefault="00385129" w:rsidP="00D43B6D">
      <w:r>
        <w:separator/>
      </w:r>
    </w:p>
  </w:footnote>
  <w:footnote w:type="continuationSeparator" w:id="0">
    <w:p w:rsidR="00385129" w:rsidRDefault="00385129" w:rsidP="00D43B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F1A6DB2"/>
    <w:lvl w:ilvl="0">
      <w:start w:val="1"/>
      <w:numFmt w:val="decimal"/>
      <w:lvlText w:val="%1."/>
      <w:lvlJc w:val="left"/>
      <w:pPr>
        <w:tabs>
          <w:tab w:val="num" w:pos="1492"/>
        </w:tabs>
        <w:ind w:left="1492" w:hanging="360"/>
      </w:pPr>
    </w:lvl>
  </w:abstractNum>
  <w:abstractNum w:abstractNumId="1">
    <w:nsid w:val="FFFFFF7D"/>
    <w:multiLevelType w:val="singleLevel"/>
    <w:tmpl w:val="76CE23D4"/>
    <w:lvl w:ilvl="0">
      <w:start w:val="1"/>
      <w:numFmt w:val="decimal"/>
      <w:lvlText w:val="%1."/>
      <w:lvlJc w:val="left"/>
      <w:pPr>
        <w:tabs>
          <w:tab w:val="num" w:pos="1209"/>
        </w:tabs>
        <w:ind w:left="1209" w:hanging="360"/>
      </w:pPr>
    </w:lvl>
  </w:abstractNum>
  <w:abstractNum w:abstractNumId="2">
    <w:nsid w:val="FFFFFF7E"/>
    <w:multiLevelType w:val="singleLevel"/>
    <w:tmpl w:val="D8DE6782"/>
    <w:lvl w:ilvl="0">
      <w:start w:val="1"/>
      <w:numFmt w:val="decimal"/>
      <w:lvlText w:val="%1."/>
      <w:lvlJc w:val="left"/>
      <w:pPr>
        <w:tabs>
          <w:tab w:val="num" w:pos="926"/>
        </w:tabs>
        <w:ind w:left="926" w:hanging="360"/>
      </w:pPr>
    </w:lvl>
  </w:abstractNum>
  <w:abstractNum w:abstractNumId="3">
    <w:nsid w:val="FFFFFF7F"/>
    <w:multiLevelType w:val="singleLevel"/>
    <w:tmpl w:val="8A208490"/>
    <w:lvl w:ilvl="0">
      <w:start w:val="1"/>
      <w:numFmt w:val="decimal"/>
      <w:lvlText w:val="%1."/>
      <w:lvlJc w:val="left"/>
      <w:pPr>
        <w:tabs>
          <w:tab w:val="num" w:pos="643"/>
        </w:tabs>
        <w:ind w:left="643" w:hanging="360"/>
      </w:pPr>
    </w:lvl>
  </w:abstractNum>
  <w:abstractNum w:abstractNumId="4">
    <w:nsid w:val="FFFFFF80"/>
    <w:multiLevelType w:val="singleLevel"/>
    <w:tmpl w:val="F4028D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C54DD9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E46A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5220BF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657E28DA"/>
    <w:lvl w:ilvl="0">
      <w:start w:val="1"/>
      <w:numFmt w:val="decimal"/>
      <w:pStyle w:val="Listenumros"/>
      <w:lvlText w:val="%1)"/>
      <w:lvlJc w:val="left"/>
      <w:pPr>
        <w:tabs>
          <w:tab w:val="num" w:pos="397"/>
        </w:tabs>
        <w:ind w:left="397" w:hanging="397"/>
      </w:pPr>
      <w:rPr>
        <w:rFonts w:ascii="Arial" w:hAnsi="Arial" w:hint="default"/>
        <w:b w:val="0"/>
        <w:i w:val="0"/>
        <w:sz w:val="22"/>
        <w:u w:val="none"/>
      </w:rPr>
    </w:lvl>
  </w:abstractNum>
  <w:abstractNum w:abstractNumId="9">
    <w:nsid w:val="FFFFFF89"/>
    <w:multiLevelType w:val="singleLevel"/>
    <w:tmpl w:val="64B26D84"/>
    <w:lvl w:ilvl="0">
      <w:start w:val="1"/>
      <w:numFmt w:val="bullet"/>
      <w:pStyle w:val="Listepuces"/>
      <w:lvlText w:val=""/>
      <w:lvlJc w:val="left"/>
      <w:pPr>
        <w:tabs>
          <w:tab w:val="num" w:pos="397"/>
        </w:tabs>
        <w:ind w:left="397" w:hanging="397"/>
      </w:pPr>
      <w:rPr>
        <w:rFonts w:ascii="Wingdings" w:hAnsi="Wingdings" w:hint="default"/>
        <w:b w:val="0"/>
        <w:i w:val="0"/>
        <w:sz w:val="22"/>
        <w:u w:val="none"/>
      </w:rPr>
    </w:lvl>
  </w:abstractNum>
  <w:abstractNum w:abstractNumId="10">
    <w:nsid w:val="FFFFFFFE"/>
    <w:multiLevelType w:val="singleLevel"/>
    <w:tmpl w:val="FFFFFFFF"/>
    <w:lvl w:ilvl="0">
      <w:numFmt w:val="decimal"/>
      <w:lvlText w:val="*"/>
      <w:lvlJc w:val="left"/>
    </w:lvl>
  </w:abstractNum>
  <w:abstractNum w:abstractNumId="11">
    <w:nsid w:val="009E6BDD"/>
    <w:multiLevelType w:val="multilevel"/>
    <w:tmpl w:val="13E6DA42"/>
    <w:lvl w:ilvl="0">
      <w:start w:val="1"/>
      <w:numFmt w:val="decimal"/>
      <w:suff w:val="space"/>
      <w:lvlText w:val="CHAPITRE %1"/>
      <w:lvlJc w:val="left"/>
      <w:pPr>
        <w:ind w:left="397" w:hanging="397"/>
      </w:pPr>
      <w:rPr>
        <w:rFonts w:ascii="Arial" w:hAnsi="Arial" w:hint="default"/>
        <w:b/>
        <w:i w:val="0"/>
        <w:sz w:val="32"/>
        <w:u w:val="none"/>
      </w:rPr>
    </w:lvl>
    <w:lvl w:ilvl="1">
      <w:numFmt w:val="decimal"/>
      <w:lvlText w:val="%1.%2"/>
      <w:lvlJc w:val="left"/>
      <w:pPr>
        <w:tabs>
          <w:tab w:val="num" w:pos="576"/>
        </w:tabs>
        <w:ind w:left="576" w:hanging="576"/>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FDD4C21"/>
    <w:multiLevelType w:val="hybridMultilevel"/>
    <w:tmpl w:val="B950C71E"/>
    <w:lvl w:ilvl="0" w:tplc="C30AD6C6">
      <w:numFmt w:val="bullet"/>
      <w:lvlText w:val="-"/>
      <w:lvlJc w:val="left"/>
      <w:pPr>
        <w:tabs>
          <w:tab w:val="num" w:pos="1400"/>
        </w:tabs>
        <w:ind w:left="1400" w:hanging="360"/>
      </w:pPr>
      <w:rPr>
        <w:rFonts w:ascii="Times New Roman" w:eastAsia="Times New Roman" w:hAnsi="Times New Roman" w:cs="Times New Roman" w:hint="default"/>
      </w:rPr>
    </w:lvl>
    <w:lvl w:ilvl="1" w:tplc="040C0003" w:tentative="1">
      <w:start w:val="1"/>
      <w:numFmt w:val="bullet"/>
      <w:lvlText w:val="o"/>
      <w:lvlJc w:val="left"/>
      <w:pPr>
        <w:tabs>
          <w:tab w:val="num" w:pos="2120"/>
        </w:tabs>
        <w:ind w:left="2120" w:hanging="360"/>
      </w:pPr>
      <w:rPr>
        <w:rFonts w:ascii="Courier New" w:hAnsi="Courier New" w:hint="default"/>
      </w:rPr>
    </w:lvl>
    <w:lvl w:ilvl="2" w:tplc="040C0005" w:tentative="1">
      <w:start w:val="1"/>
      <w:numFmt w:val="bullet"/>
      <w:lvlText w:val=""/>
      <w:lvlJc w:val="left"/>
      <w:pPr>
        <w:tabs>
          <w:tab w:val="num" w:pos="2840"/>
        </w:tabs>
        <w:ind w:left="2840" w:hanging="360"/>
      </w:pPr>
      <w:rPr>
        <w:rFonts w:ascii="Wingdings" w:hAnsi="Wingdings" w:hint="default"/>
      </w:rPr>
    </w:lvl>
    <w:lvl w:ilvl="3" w:tplc="040C0001" w:tentative="1">
      <w:start w:val="1"/>
      <w:numFmt w:val="bullet"/>
      <w:lvlText w:val=""/>
      <w:lvlJc w:val="left"/>
      <w:pPr>
        <w:tabs>
          <w:tab w:val="num" w:pos="3560"/>
        </w:tabs>
        <w:ind w:left="3560" w:hanging="360"/>
      </w:pPr>
      <w:rPr>
        <w:rFonts w:ascii="Symbol" w:hAnsi="Symbol" w:hint="default"/>
      </w:rPr>
    </w:lvl>
    <w:lvl w:ilvl="4" w:tplc="040C0003" w:tentative="1">
      <w:start w:val="1"/>
      <w:numFmt w:val="bullet"/>
      <w:lvlText w:val="o"/>
      <w:lvlJc w:val="left"/>
      <w:pPr>
        <w:tabs>
          <w:tab w:val="num" w:pos="4280"/>
        </w:tabs>
        <w:ind w:left="4280" w:hanging="360"/>
      </w:pPr>
      <w:rPr>
        <w:rFonts w:ascii="Courier New" w:hAnsi="Courier New" w:hint="default"/>
      </w:rPr>
    </w:lvl>
    <w:lvl w:ilvl="5" w:tplc="040C0005" w:tentative="1">
      <w:start w:val="1"/>
      <w:numFmt w:val="bullet"/>
      <w:lvlText w:val=""/>
      <w:lvlJc w:val="left"/>
      <w:pPr>
        <w:tabs>
          <w:tab w:val="num" w:pos="5000"/>
        </w:tabs>
        <w:ind w:left="5000" w:hanging="360"/>
      </w:pPr>
      <w:rPr>
        <w:rFonts w:ascii="Wingdings" w:hAnsi="Wingdings" w:hint="default"/>
      </w:rPr>
    </w:lvl>
    <w:lvl w:ilvl="6" w:tplc="040C0001" w:tentative="1">
      <w:start w:val="1"/>
      <w:numFmt w:val="bullet"/>
      <w:lvlText w:val=""/>
      <w:lvlJc w:val="left"/>
      <w:pPr>
        <w:tabs>
          <w:tab w:val="num" w:pos="5720"/>
        </w:tabs>
        <w:ind w:left="5720" w:hanging="360"/>
      </w:pPr>
      <w:rPr>
        <w:rFonts w:ascii="Symbol" w:hAnsi="Symbol" w:hint="default"/>
      </w:rPr>
    </w:lvl>
    <w:lvl w:ilvl="7" w:tplc="040C0003" w:tentative="1">
      <w:start w:val="1"/>
      <w:numFmt w:val="bullet"/>
      <w:lvlText w:val="o"/>
      <w:lvlJc w:val="left"/>
      <w:pPr>
        <w:tabs>
          <w:tab w:val="num" w:pos="6440"/>
        </w:tabs>
        <w:ind w:left="6440" w:hanging="360"/>
      </w:pPr>
      <w:rPr>
        <w:rFonts w:ascii="Courier New" w:hAnsi="Courier New" w:hint="default"/>
      </w:rPr>
    </w:lvl>
    <w:lvl w:ilvl="8" w:tplc="040C0005" w:tentative="1">
      <w:start w:val="1"/>
      <w:numFmt w:val="bullet"/>
      <w:lvlText w:val=""/>
      <w:lvlJc w:val="left"/>
      <w:pPr>
        <w:tabs>
          <w:tab w:val="num" w:pos="7160"/>
        </w:tabs>
        <w:ind w:left="7160" w:hanging="360"/>
      </w:pPr>
      <w:rPr>
        <w:rFonts w:ascii="Wingdings" w:hAnsi="Wingdings" w:hint="default"/>
      </w:rPr>
    </w:lvl>
  </w:abstractNum>
  <w:abstractNum w:abstractNumId="13">
    <w:nsid w:val="722C41D8"/>
    <w:multiLevelType w:val="singleLevel"/>
    <w:tmpl w:val="8AF67476"/>
    <w:lvl w:ilvl="0">
      <w:numFmt w:val="decimal"/>
      <w:lvlText w:val="1.%1. "/>
      <w:legacy w:legacy="1" w:legacySpace="0" w:legacyIndent="283"/>
      <w:lvlJc w:val="left"/>
      <w:pPr>
        <w:ind w:left="283" w:hanging="283"/>
      </w:pPr>
      <w:rPr>
        <w:rFonts w:ascii="Book Antiqua" w:hAnsi="Book Antiqua" w:hint="default"/>
        <w:b w:val="0"/>
        <w:i w:val="0"/>
        <w:sz w:val="24"/>
        <w:u w:val="none"/>
      </w:rPr>
    </w:lvl>
  </w:abstractNum>
  <w:abstractNum w:abstractNumId="14">
    <w:nsid w:val="79B0351E"/>
    <w:multiLevelType w:val="hybridMultilevel"/>
    <w:tmpl w:val="08D657FA"/>
    <w:lvl w:ilvl="0" w:tplc="FFFFFFFF">
      <w:numFmt w:val="bullet"/>
      <w:lvlText w:val="-"/>
      <w:lvlJc w:val="left"/>
      <w:pPr>
        <w:tabs>
          <w:tab w:val="num" w:pos="1400"/>
        </w:tabs>
        <w:ind w:left="1400" w:hanging="360"/>
      </w:pPr>
      <w:rPr>
        <w:rFonts w:ascii="Times New Roman" w:eastAsia="Times New Roman" w:hAnsi="Times New Roman" w:cs="Times New Roman" w:hint="default"/>
      </w:rPr>
    </w:lvl>
    <w:lvl w:ilvl="1" w:tplc="FFFFFFFF">
      <w:start w:val="1"/>
      <w:numFmt w:val="bullet"/>
      <w:lvlText w:val="o"/>
      <w:lvlJc w:val="left"/>
      <w:pPr>
        <w:tabs>
          <w:tab w:val="num" w:pos="2120"/>
        </w:tabs>
        <w:ind w:left="2120" w:hanging="360"/>
      </w:pPr>
      <w:rPr>
        <w:rFonts w:ascii="Courier New" w:hAnsi="Courier New" w:hint="default"/>
      </w:rPr>
    </w:lvl>
    <w:lvl w:ilvl="2" w:tplc="FFFFFFFF" w:tentative="1">
      <w:start w:val="1"/>
      <w:numFmt w:val="bullet"/>
      <w:lvlText w:val=""/>
      <w:lvlJc w:val="left"/>
      <w:pPr>
        <w:tabs>
          <w:tab w:val="num" w:pos="2840"/>
        </w:tabs>
        <w:ind w:left="2840" w:hanging="360"/>
      </w:pPr>
      <w:rPr>
        <w:rFonts w:ascii="Wingdings" w:hAnsi="Wingdings" w:hint="default"/>
      </w:rPr>
    </w:lvl>
    <w:lvl w:ilvl="3" w:tplc="FFFFFFFF">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9"/>
  </w:num>
  <w:num w:numId="3">
    <w:abstractNumId w:val="7"/>
  </w:num>
  <w:num w:numId="4">
    <w:abstractNumId w:val="8"/>
  </w:num>
  <w:num w:numId="5">
    <w:abstractNumId w:val="12"/>
  </w:num>
  <w:num w:numId="6">
    <w:abstractNumId w:val="3"/>
  </w:num>
  <w:num w:numId="7">
    <w:abstractNumId w:val="2"/>
  </w:num>
  <w:num w:numId="8">
    <w:abstractNumId w:val="1"/>
  </w:num>
  <w:num w:numId="9">
    <w:abstractNumId w:val="0"/>
  </w:num>
  <w:num w:numId="10">
    <w:abstractNumId w:val="6"/>
  </w:num>
  <w:num w:numId="11">
    <w:abstractNumId w:val="5"/>
  </w:num>
  <w:num w:numId="12">
    <w:abstractNumId w:val="4"/>
  </w:num>
  <w:num w:numId="13">
    <w:abstractNumId w:val="11"/>
  </w:num>
  <w:num w:numId="14">
    <w:abstractNumId w:val="13"/>
  </w:num>
  <w:num w:numId="15">
    <w:abstractNumId w:val="13"/>
    <w:lvlOverride w:ilvl="0">
      <w:lvl w:ilvl="0">
        <w:start w:val="1"/>
        <w:numFmt w:val="decimal"/>
        <w:lvlText w:val="1.%1. "/>
        <w:legacy w:legacy="1" w:legacySpace="0" w:legacyIndent="283"/>
        <w:lvlJc w:val="left"/>
        <w:pPr>
          <w:ind w:left="283" w:hanging="283"/>
        </w:pPr>
        <w:rPr>
          <w:rFonts w:ascii="Book Antiqua" w:hAnsi="Book Antiqua" w:hint="default"/>
          <w:b w:val="0"/>
          <w:i w:val="0"/>
          <w:sz w:val="24"/>
          <w:u w:val="none"/>
        </w:rPr>
      </w:lvl>
    </w:lvlOverride>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361802"/>
    <w:rsid w:val="000042A6"/>
    <w:rsid w:val="001750B8"/>
    <w:rsid w:val="00184196"/>
    <w:rsid w:val="00361802"/>
    <w:rsid w:val="00385129"/>
    <w:rsid w:val="006E704B"/>
    <w:rsid w:val="007C29DD"/>
    <w:rsid w:val="00BC6652"/>
    <w:rsid w:val="00C3021F"/>
    <w:rsid w:val="00D43B6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page number" w:uiPriority="0"/>
    <w:lsdException w:name="List" w:uiPriority="0"/>
    <w:lsdException w:name="List Bullet" w:uiPriority="0"/>
    <w:lsdException w:name="List Number"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361802"/>
    <w:pPr>
      <w:overflowPunct w:val="0"/>
      <w:autoSpaceDE w:val="0"/>
      <w:autoSpaceDN w:val="0"/>
      <w:adjustRightInd w:val="0"/>
      <w:jc w:val="both"/>
      <w:textAlignment w:val="baseline"/>
    </w:pPr>
    <w:rPr>
      <w:rFonts w:ascii="Arial" w:hAnsi="Arial"/>
      <w:sz w:val="22"/>
    </w:rPr>
  </w:style>
  <w:style w:type="paragraph" w:styleId="Titre1">
    <w:name w:val="heading 1"/>
    <w:basedOn w:val="Normal"/>
    <w:next w:val="Normal"/>
    <w:link w:val="Titre1Car"/>
    <w:qFormat/>
    <w:rsid w:val="00184196"/>
    <w:pPr>
      <w:spacing w:before="600" w:line="360" w:lineRule="auto"/>
      <w:outlineLvl w:val="0"/>
    </w:pPr>
    <w:rPr>
      <w:rFonts w:ascii="Cambria" w:eastAsiaTheme="majorEastAsia" w:hAnsi="Cambria" w:cstheme="majorBidi"/>
      <w:b/>
      <w:bCs/>
      <w:i/>
      <w:iCs/>
      <w:sz w:val="32"/>
      <w:szCs w:val="32"/>
    </w:rPr>
  </w:style>
  <w:style w:type="paragraph" w:styleId="Titre2">
    <w:name w:val="heading 2"/>
    <w:basedOn w:val="Normal"/>
    <w:next w:val="Normal"/>
    <w:link w:val="Titre2Car"/>
    <w:unhideWhenUsed/>
    <w:qFormat/>
    <w:rsid w:val="00184196"/>
    <w:pPr>
      <w:spacing w:before="320" w:line="360" w:lineRule="auto"/>
      <w:outlineLvl w:val="1"/>
    </w:pPr>
    <w:rPr>
      <w:rFonts w:ascii="Cambria" w:eastAsiaTheme="majorEastAsia" w:hAnsi="Cambria" w:cstheme="majorBidi"/>
      <w:b/>
      <w:bCs/>
      <w:i/>
      <w:iCs/>
      <w:sz w:val="28"/>
      <w:szCs w:val="28"/>
    </w:rPr>
  </w:style>
  <w:style w:type="paragraph" w:styleId="Titre3">
    <w:name w:val="heading 3"/>
    <w:basedOn w:val="Normal"/>
    <w:next w:val="Normal"/>
    <w:link w:val="Titre3Car"/>
    <w:unhideWhenUsed/>
    <w:qFormat/>
    <w:rsid w:val="00184196"/>
    <w:pPr>
      <w:spacing w:before="320" w:line="360" w:lineRule="auto"/>
      <w:outlineLvl w:val="2"/>
    </w:pPr>
    <w:rPr>
      <w:rFonts w:ascii="Cambria" w:eastAsiaTheme="majorEastAsia" w:hAnsi="Cambria" w:cstheme="majorBidi"/>
      <w:b/>
      <w:bCs/>
      <w:i/>
      <w:iCs/>
      <w:sz w:val="26"/>
      <w:szCs w:val="26"/>
    </w:rPr>
  </w:style>
  <w:style w:type="paragraph" w:styleId="Titre4">
    <w:name w:val="heading 4"/>
    <w:basedOn w:val="Normal"/>
    <w:next w:val="Normal"/>
    <w:link w:val="Titre4Car"/>
    <w:unhideWhenUsed/>
    <w:qFormat/>
    <w:rsid w:val="00184196"/>
    <w:pPr>
      <w:spacing w:before="280" w:line="360" w:lineRule="auto"/>
      <w:outlineLvl w:val="3"/>
    </w:pPr>
    <w:rPr>
      <w:rFonts w:ascii="Cambria" w:eastAsiaTheme="majorEastAsia" w:hAnsi="Cambria" w:cstheme="majorBidi"/>
      <w:b/>
      <w:bCs/>
      <w:i/>
      <w:iCs/>
      <w:sz w:val="24"/>
      <w:szCs w:val="24"/>
    </w:rPr>
  </w:style>
  <w:style w:type="paragraph" w:styleId="Titre5">
    <w:name w:val="heading 5"/>
    <w:basedOn w:val="Normal"/>
    <w:next w:val="Normal"/>
    <w:link w:val="Titre5Car"/>
    <w:unhideWhenUsed/>
    <w:qFormat/>
    <w:rsid w:val="00184196"/>
    <w:pPr>
      <w:spacing w:before="280" w:line="360" w:lineRule="auto"/>
      <w:outlineLvl w:val="4"/>
    </w:pPr>
    <w:rPr>
      <w:rFonts w:ascii="Cambria" w:eastAsiaTheme="majorEastAsia" w:hAnsi="Cambria" w:cstheme="majorBidi"/>
      <w:b/>
      <w:bCs/>
      <w:i/>
      <w:iCs/>
      <w:sz w:val="20"/>
    </w:rPr>
  </w:style>
  <w:style w:type="paragraph" w:styleId="Titre6">
    <w:name w:val="heading 6"/>
    <w:basedOn w:val="Normal"/>
    <w:next w:val="Normal"/>
    <w:link w:val="Titre6Car"/>
    <w:unhideWhenUsed/>
    <w:qFormat/>
    <w:rsid w:val="00184196"/>
    <w:pPr>
      <w:spacing w:before="280" w:after="80" w:line="360" w:lineRule="auto"/>
      <w:outlineLvl w:val="5"/>
    </w:pPr>
    <w:rPr>
      <w:rFonts w:ascii="Cambria" w:eastAsiaTheme="majorEastAsia" w:hAnsi="Cambria" w:cstheme="majorBidi"/>
      <w:b/>
      <w:bCs/>
      <w:i/>
      <w:iCs/>
      <w:sz w:val="20"/>
    </w:rPr>
  </w:style>
  <w:style w:type="paragraph" w:styleId="Titre7">
    <w:name w:val="heading 7"/>
    <w:basedOn w:val="Normal"/>
    <w:next w:val="Normal"/>
    <w:link w:val="Titre7Car"/>
    <w:unhideWhenUsed/>
    <w:qFormat/>
    <w:rsid w:val="00184196"/>
    <w:pPr>
      <w:spacing w:before="280" w:line="360" w:lineRule="auto"/>
      <w:outlineLvl w:val="6"/>
    </w:pPr>
    <w:rPr>
      <w:rFonts w:ascii="Cambria" w:eastAsiaTheme="majorEastAsia" w:hAnsi="Cambria" w:cstheme="majorBidi"/>
      <w:b/>
      <w:bCs/>
      <w:i/>
      <w:iCs/>
      <w:sz w:val="20"/>
    </w:rPr>
  </w:style>
  <w:style w:type="paragraph" w:styleId="Titre8">
    <w:name w:val="heading 8"/>
    <w:basedOn w:val="Normal"/>
    <w:next w:val="Normal"/>
    <w:link w:val="Titre8Car"/>
    <w:unhideWhenUsed/>
    <w:qFormat/>
    <w:rsid w:val="00184196"/>
    <w:pPr>
      <w:spacing w:before="280" w:line="360" w:lineRule="auto"/>
      <w:outlineLvl w:val="7"/>
    </w:pPr>
    <w:rPr>
      <w:rFonts w:ascii="Cambria" w:eastAsiaTheme="majorEastAsia" w:hAnsi="Cambria" w:cstheme="majorBidi"/>
      <w:b/>
      <w:bCs/>
      <w:i/>
      <w:iCs/>
      <w:sz w:val="18"/>
      <w:szCs w:val="18"/>
    </w:rPr>
  </w:style>
  <w:style w:type="paragraph" w:styleId="Titre9">
    <w:name w:val="heading 9"/>
    <w:basedOn w:val="Normal"/>
    <w:next w:val="Normal"/>
    <w:link w:val="Titre9Car"/>
    <w:unhideWhenUsed/>
    <w:qFormat/>
    <w:rsid w:val="00184196"/>
    <w:pPr>
      <w:spacing w:before="280" w:line="360" w:lineRule="auto"/>
      <w:outlineLvl w:val="8"/>
    </w:pPr>
    <w:rPr>
      <w:rFonts w:ascii="Cambria" w:eastAsiaTheme="majorEastAsia" w:hAnsi="Cambria" w:cstheme="majorBidi"/>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84196"/>
    <w:rPr>
      <w:rFonts w:ascii="Cambria" w:eastAsiaTheme="majorEastAsia" w:hAnsi="Cambria" w:cstheme="majorBidi"/>
      <w:b/>
      <w:bCs/>
      <w:i/>
      <w:iCs/>
      <w:sz w:val="32"/>
      <w:szCs w:val="32"/>
    </w:rPr>
  </w:style>
  <w:style w:type="character" w:customStyle="1" w:styleId="Titre2Car">
    <w:name w:val="Titre 2 Car"/>
    <w:basedOn w:val="Policepardfaut"/>
    <w:link w:val="Titre2"/>
    <w:rsid w:val="00184196"/>
    <w:rPr>
      <w:rFonts w:ascii="Cambria" w:eastAsiaTheme="majorEastAsia" w:hAnsi="Cambria" w:cstheme="majorBidi"/>
      <w:b/>
      <w:bCs/>
      <w:i/>
      <w:iCs/>
      <w:sz w:val="28"/>
      <w:szCs w:val="28"/>
    </w:rPr>
  </w:style>
  <w:style w:type="character" w:customStyle="1" w:styleId="Titre3Car">
    <w:name w:val="Titre 3 Car"/>
    <w:basedOn w:val="Policepardfaut"/>
    <w:link w:val="Titre3"/>
    <w:rsid w:val="00184196"/>
    <w:rPr>
      <w:rFonts w:ascii="Cambria" w:eastAsiaTheme="majorEastAsia" w:hAnsi="Cambria" w:cstheme="majorBidi"/>
      <w:b/>
      <w:bCs/>
      <w:i/>
      <w:iCs/>
      <w:sz w:val="26"/>
      <w:szCs w:val="26"/>
    </w:rPr>
  </w:style>
  <w:style w:type="character" w:customStyle="1" w:styleId="Titre4Car">
    <w:name w:val="Titre 4 Car"/>
    <w:basedOn w:val="Policepardfaut"/>
    <w:link w:val="Titre4"/>
    <w:rsid w:val="00184196"/>
    <w:rPr>
      <w:rFonts w:ascii="Cambria" w:eastAsiaTheme="majorEastAsia" w:hAnsi="Cambria" w:cstheme="majorBidi"/>
      <w:b/>
      <w:bCs/>
      <w:i/>
      <w:iCs/>
      <w:sz w:val="24"/>
      <w:szCs w:val="24"/>
    </w:rPr>
  </w:style>
  <w:style w:type="character" w:customStyle="1" w:styleId="Titre5Car">
    <w:name w:val="Titre 5 Car"/>
    <w:basedOn w:val="Policepardfaut"/>
    <w:link w:val="Titre5"/>
    <w:rsid w:val="00184196"/>
    <w:rPr>
      <w:rFonts w:ascii="Cambria" w:eastAsiaTheme="majorEastAsia" w:hAnsi="Cambria" w:cstheme="majorBidi"/>
      <w:b/>
      <w:bCs/>
      <w:i/>
      <w:iCs/>
    </w:rPr>
  </w:style>
  <w:style w:type="character" w:customStyle="1" w:styleId="Titre6Car">
    <w:name w:val="Titre 6 Car"/>
    <w:basedOn w:val="Policepardfaut"/>
    <w:link w:val="Titre6"/>
    <w:rsid w:val="00184196"/>
    <w:rPr>
      <w:rFonts w:ascii="Cambria" w:eastAsiaTheme="majorEastAsia" w:hAnsi="Cambria" w:cstheme="majorBidi"/>
      <w:b/>
      <w:bCs/>
      <w:i/>
      <w:iCs/>
    </w:rPr>
  </w:style>
  <w:style w:type="character" w:customStyle="1" w:styleId="Titre7Car">
    <w:name w:val="Titre 7 Car"/>
    <w:basedOn w:val="Policepardfaut"/>
    <w:link w:val="Titre7"/>
    <w:rsid w:val="00184196"/>
    <w:rPr>
      <w:rFonts w:ascii="Cambria" w:eastAsiaTheme="majorEastAsia" w:hAnsi="Cambria" w:cstheme="majorBidi"/>
      <w:b/>
      <w:bCs/>
      <w:i/>
      <w:iCs/>
    </w:rPr>
  </w:style>
  <w:style w:type="character" w:customStyle="1" w:styleId="Titre8Car">
    <w:name w:val="Titre 8 Car"/>
    <w:basedOn w:val="Policepardfaut"/>
    <w:link w:val="Titre8"/>
    <w:rsid w:val="00184196"/>
    <w:rPr>
      <w:rFonts w:ascii="Cambria" w:eastAsiaTheme="majorEastAsia" w:hAnsi="Cambria" w:cstheme="majorBidi"/>
      <w:b/>
      <w:bCs/>
      <w:i/>
      <w:iCs/>
      <w:sz w:val="18"/>
      <w:szCs w:val="18"/>
    </w:rPr>
  </w:style>
  <w:style w:type="character" w:customStyle="1" w:styleId="Titre9Car">
    <w:name w:val="Titre 9 Car"/>
    <w:basedOn w:val="Policepardfaut"/>
    <w:link w:val="Titre9"/>
    <w:rsid w:val="00184196"/>
    <w:rPr>
      <w:rFonts w:ascii="Cambria" w:eastAsiaTheme="majorEastAsia" w:hAnsi="Cambria" w:cstheme="majorBidi"/>
      <w:i/>
      <w:iCs/>
      <w:sz w:val="18"/>
      <w:szCs w:val="18"/>
    </w:rPr>
  </w:style>
  <w:style w:type="paragraph" w:styleId="Lgende">
    <w:name w:val="caption"/>
    <w:basedOn w:val="Normal"/>
    <w:next w:val="Normal"/>
    <w:uiPriority w:val="35"/>
    <w:semiHidden/>
    <w:unhideWhenUsed/>
    <w:qFormat/>
    <w:rsid w:val="00184196"/>
    <w:rPr>
      <w:b/>
      <w:bCs/>
      <w:sz w:val="18"/>
      <w:szCs w:val="18"/>
    </w:rPr>
  </w:style>
  <w:style w:type="paragraph" w:styleId="Titre">
    <w:name w:val="Title"/>
    <w:basedOn w:val="Normal"/>
    <w:next w:val="Normal"/>
    <w:link w:val="TitreCar"/>
    <w:qFormat/>
    <w:rsid w:val="00184196"/>
    <w:rPr>
      <w:rFonts w:ascii="Cambria" w:eastAsiaTheme="majorEastAsia" w:hAnsi="Cambria" w:cstheme="majorBidi"/>
      <w:b/>
      <w:bCs/>
      <w:i/>
      <w:iCs/>
      <w:spacing w:val="10"/>
      <w:sz w:val="60"/>
      <w:szCs w:val="60"/>
    </w:rPr>
  </w:style>
  <w:style w:type="character" w:customStyle="1" w:styleId="TitreCar">
    <w:name w:val="Titre Car"/>
    <w:basedOn w:val="Policepardfaut"/>
    <w:link w:val="Titre"/>
    <w:rsid w:val="00184196"/>
    <w:rPr>
      <w:rFonts w:ascii="Cambria" w:eastAsiaTheme="majorEastAsia" w:hAnsi="Cambria" w:cstheme="majorBidi"/>
      <w:b/>
      <w:bCs/>
      <w:i/>
      <w:iCs/>
      <w:spacing w:val="10"/>
      <w:sz w:val="60"/>
      <w:szCs w:val="60"/>
    </w:rPr>
  </w:style>
  <w:style w:type="paragraph" w:styleId="Sous-titre">
    <w:name w:val="Subtitle"/>
    <w:basedOn w:val="Normal"/>
    <w:next w:val="Normal"/>
    <w:link w:val="Sous-titreCar"/>
    <w:uiPriority w:val="11"/>
    <w:qFormat/>
    <w:rsid w:val="00184196"/>
    <w:pPr>
      <w:spacing w:after="320"/>
      <w:jc w:val="right"/>
    </w:pPr>
    <w:rPr>
      <w:rFonts w:eastAsiaTheme="majorEastAsia" w:cstheme="majorBidi"/>
      <w:i/>
      <w:iCs/>
      <w:color w:val="808080"/>
      <w:spacing w:val="10"/>
      <w:sz w:val="24"/>
      <w:szCs w:val="24"/>
    </w:rPr>
  </w:style>
  <w:style w:type="character" w:customStyle="1" w:styleId="Sous-titreCar">
    <w:name w:val="Sous-titre Car"/>
    <w:basedOn w:val="Policepardfaut"/>
    <w:link w:val="Sous-titre"/>
    <w:uiPriority w:val="11"/>
    <w:rsid w:val="00184196"/>
    <w:rPr>
      <w:rFonts w:eastAsiaTheme="majorEastAsia" w:cstheme="majorBidi"/>
      <w:i/>
      <w:iCs/>
      <w:color w:val="808080"/>
      <w:spacing w:val="10"/>
      <w:sz w:val="24"/>
      <w:szCs w:val="24"/>
    </w:rPr>
  </w:style>
  <w:style w:type="character" w:styleId="lev">
    <w:name w:val="Strong"/>
    <w:basedOn w:val="Policepardfaut"/>
    <w:uiPriority w:val="22"/>
    <w:qFormat/>
    <w:rsid w:val="00184196"/>
    <w:rPr>
      <w:b/>
      <w:bCs/>
      <w:spacing w:val="0"/>
    </w:rPr>
  </w:style>
  <w:style w:type="character" w:styleId="Accentuation">
    <w:name w:val="Emphasis"/>
    <w:uiPriority w:val="20"/>
    <w:qFormat/>
    <w:rsid w:val="00184196"/>
    <w:rPr>
      <w:b/>
      <w:bCs/>
      <w:i/>
      <w:iCs/>
      <w:color w:val="auto"/>
    </w:rPr>
  </w:style>
  <w:style w:type="paragraph" w:styleId="Sansinterligne">
    <w:name w:val="No Spacing"/>
    <w:basedOn w:val="Normal"/>
    <w:link w:val="SansinterligneCar"/>
    <w:uiPriority w:val="1"/>
    <w:qFormat/>
    <w:rsid w:val="00184196"/>
    <w:rPr>
      <w:rFonts w:eastAsiaTheme="minorEastAsia"/>
    </w:rPr>
  </w:style>
  <w:style w:type="paragraph" w:styleId="Paragraphedeliste">
    <w:name w:val="List Paragraph"/>
    <w:basedOn w:val="Normal"/>
    <w:uiPriority w:val="34"/>
    <w:qFormat/>
    <w:rsid w:val="00184196"/>
    <w:pPr>
      <w:ind w:left="720"/>
      <w:contextualSpacing/>
    </w:pPr>
  </w:style>
  <w:style w:type="paragraph" w:styleId="Citation">
    <w:name w:val="Quote"/>
    <w:basedOn w:val="Normal"/>
    <w:next w:val="Normal"/>
    <w:link w:val="CitationCar"/>
    <w:uiPriority w:val="29"/>
    <w:qFormat/>
    <w:rsid w:val="00184196"/>
    <w:rPr>
      <w:color w:val="5A5A5A"/>
      <w:sz w:val="20"/>
    </w:rPr>
  </w:style>
  <w:style w:type="character" w:customStyle="1" w:styleId="CitationCar">
    <w:name w:val="Citation Car"/>
    <w:basedOn w:val="Policepardfaut"/>
    <w:link w:val="Citation"/>
    <w:uiPriority w:val="29"/>
    <w:rsid w:val="00184196"/>
    <w:rPr>
      <w:rFonts w:ascii="Calibri"/>
      <w:color w:val="5A5A5A"/>
    </w:rPr>
  </w:style>
  <w:style w:type="paragraph" w:styleId="Citationintense">
    <w:name w:val="Intense Quote"/>
    <w:basedOn w:val="Normal"/>
    <w:next w:val="Normal"/>
    <w:link w:val="CitationintenseCar"/>
    <w:uiPriority w:val="30"/>
    <w:qFormat/>
    <w:rsid w:val="00184196"/>
    <w:pPr>
      <w:spacing w:before="320" w:after="480"/>
      <w:ind w:left="720" w:right="720"/>
      <w:jc w:val="center"/>
    </w:pPr>
    <w:rPr>
      <w:rFonts w:ascii="Cambria" w:hAnsi="Cambria"/>
      <w:i/>
      <w:iCs/>
      <w:sz w:val="20"/>
    </w:rPr>
  </w:style>
  <w:style w:type="character" w:customStyle="1" w:styleId="CitationintenseCar">
    <w:name w:val="Citation intense Car"/>
    <w:basedOn w:val="Policepardfaut"/>
    <w:link w:val="Citationintense"/>
    <w:uiPriority w:val="30"/>
    <w:rsid w:val="00184196"/>
    <w:rPr>
      <w:rFonts w:ascii="Cambria" w:eastAsia="Times New Roman" w:hAnsi="Cambria" w:cs="Times New Roman"/>
      <w:i/>
      <w:iCs/>
      <w:sz w:val="20"/>
      <w:szCs w:val="20"/>
    </w:rPr>
  </w:style>
  <w:style w:type="character" w:styleId="Emphaseple">
    <w:name w:val="Subtle Emphasis"/>
    <w:uiPriority w:val="19"/>
    <w:qFormat/>
    <w:rsid w:val="00184196"/>
    <w:rPr>
      <w:i/>
      <w:iCs/>
      <w:color w:val="5A5A5A"/>
    </w:rPr>
  </w:style>
  <w:style w:type="character" w:styleId="Emphaseintense">
    <w:name w:val="Intense Emphasis"/>
    <w:uiPriority w:val="21"/>
    <w:qFormat/>
    <w:rsid w:val="00184196"/>
    <w:rPr>
      <w:b/>
      <w:bCs/>
      <w:i/>
      <w:iCs/>
      <w:color w:val="auto"/>
      <w:u w:val="single"/>
    </w:rPr>
  </w:style>
  <w:style w:type="character" w:styleId="Rfrenceple">
    <w:name w:val="Subtle Reference"/>
    <w:uiPriority w:val="31"/>
    <w:qFormat/>
    <w:rsid w:val="00184196"/>
    <w:rPr>
      <w:smallCaps/>
    </w:rPr>
  </w:style>
  <w:style w:type="character" w:styleId="Rfrenceintense">
    <w:name w:val="Intense Reference"/>
    <w:uiPriority w:val="32"/>
    <w:qFormat/>
    <w:rsid w:val="00184196"/>
    <w:rPr>
      <w:b/>
      <w:bCs/>
      <w:smallCaps/>
      <w:color w:val="auto"/>
    </w:rPr>
  </w:style>
  <w:style w:type="character" w:styleId="Titredulivre">
    <w:name w:val="Book Title"/>
    <w:uiPriority w:val="33"/>
    <w:qFormat/>
    <w:rsid w:val="00184196"/>
    <w:rPr>
      <w:rFonts w:ascii="Cambria" w:eastAsia="Times New Roman" w:hAnsi="Cambria" w:cs="Times New Roman"/>
      <w:b/>
      <w:bCs/>
      <w:smallCaps/>
      <w:color w:val="auto"/>
      <w:u w:val="single"/>
    </w:rPr>
  </w:style>
  <w:style w:type="paragraph" w:styleId="En-ttedetabledesmatires">
    <w:name w:val="TOC Heading"/>
    <w:basedOn w:val="Titre1"/>
    <w:next w:val="Normal"/>
    <w:uiPriority w:val="39"/>
    <w:semiHidden/>
    <w:unhideWhenUsed/>
    <w:qFormat/>
    <w:rsid w:val="00184196"/>
    <w:pPr>
      <w:outlineLvl w:val="9"/>
    </w:pPr>
    <w:rPr>
      <w:lang w:val="en-US" w:eastAsia="en-US" w:bidi="en-US"/>
    </w:rPr>
  </w:style>
  <w:style w:type="character" w:customStyle="1" w:styleId="SansinterligneCar">
    <w:name w:val="Sans interligne Car"/>
    <w:basedOn w:val="Policepardfaut"/>
    <w:link w:val="Sansinterligne"/>
    <w:uiPriority w:val="1"/>
    <w:rsid w:val="00184196"/>
    <w:rPr>
      <w:rFonts w:eastAsiaTheme="minorEastAsia"/>
      <w:sz w:val="22"/>
      <w:szCs w:val="22"/>
      <w:lang w:val="en-US" w:eastAsia="en-US" w:bidi="en-US"/>
    </w:rPr>
  </w:style>
  <w:style w:type="paragraph" w:styleId="En-tte">
    <w:name w:val="header"/>
    <w:basedOn w:val="Normal"/>
    <w:link w:val="En-tteCar"/>
    <w:rsid w:val="00361802"/>
    <w:pPr>
      <w:tabs>
        <w:tab w:val="center" w:pos="4536"/>
        <w:tab w:val="right" w:pos="9072"/>
      </w:tabs>
    </w:pPr>
  </w:style>
  <w:style w:type="character" w:customStyle="1" w:styleId="En-tteCar">
    <w:name w:val="En-tête Car"/>
    <w:basedOn w:val="Policepardfaut"/>
    <w:link w:val="En-tte"/>
    <w:rsid w:val="00361802"/>
    <w:rPr>
      <w:rFonts w:ascii="Arial" w:hAnsi="Arial"/>
      <w:sz w:val="22"/>
    </w:rPr>
  </w:style>
  <w:style w:type="paragraph" w:styleId="Pieddepage">
    <w:name w:val="footer"/>
    <w:basedOn w:val="Normal"/>
    <w:link w:val="PieddepageCar"/>
    <w:uiPriority w:val="99"/>
    <w:rsid w:val="00361802"/>
    <w:pPr>
      <w:tabs>
        <w:tab w:val="center" w:pos="4536"/>
        <w:tab w:val="right" w:pos="9072"/>
      </w:tabs>
    </w:pPr>
  </w:style>
  <w:style w:type="character" w:customStyle="1" w:styleId="PieddepageCar">
    <w:name w:val="Pied de page Car"/>
    <w:basedOn w:val="Policepardfaut"/>
    <w:link w:val="Pieddepage"/>
    <w:uiPriority w:val="99"/>
    <w:rsid w:val="00361802"/>
    <w:rPr>
      <w:rFonts w:ascii="Arial" w:hAnsi="Arial"/>
      <w:sz w:val="22"/>
    </w:rPr>
  </w:style>
  <w:style w:type="character" w:styleId="Numrodepage">
    <w:name w:val="page number"/>
    <w:basedOn w:val="Policepardfaut"/>
    <w:semiHidden/>
    <w:rsid w:val="00361802"/>
  </w:style>
  <w:style w:type="paragraph" w:styleId="Corpsdetexte">
    <w:name w:val="Body Text"/>
    <w:basedOn w:val="Normal"/>
    <w:link w:val="CorpsdetexteCar"/>
    <w:rsid w:val="00361802"/>
    <w:pPr>
      <w:tabs>
        <w:tab w:val="right" w:pos="8789"/>
      </w:tabs>
      <w:jc w:val="center"/>
    </w:pPr>
    <w:rPr>
      <w:b/>
      <w:i/>
      <w:sz w:val="40"/>
    </w:rPr>
  </w:style>
  <w:style w:type="character" w:customStyle="1" w:styleId="CorpsdetexteCar">
    <w:name w:val="Corps de texte Car"/>
    <w:basedOn w:val="Policepardfaut"/>
    <w:link w:val="Corpsdetexte"/>
    <w:rsid w:val="00361802"/>
    <w:rPr>
      <w:rFonts w:ascii="Arial" w:hAnsi="Arial"/>
      <w:b/>
      <w:i/>
      <w:sz w:val="40"/>
    </w:rPr>
  </w:style>
  <w:style w:type="paragraph" w:styleId="TM1">
    <w:name w:val="toc 1"/>
    <w:basedOn w:val="Normal"/>
    <w:next w:val="Normal"/>
    <w:autoRedefine/>
    <w:semiHidden/>
    <w:rsid w:val="00361802"/>
    <w:pPr>
      <w:tabs>
        <w:tab w:val="left" w:pos="1701"/>
        <w:tab w:val="right" w:leader="underscore" w:pos="9628"/>
      </w:tabs>
      <w:spacing w:before="120"/>
      <w:jc w:val="left"/>
    </w:pPr>
    <w:rPr>
      <w:b/>
      <w:bCs/>
      <w:caps/>
      <w:noProof/>
      <w:sz w:val="24"/>
      <w:szCs w:val="28"/>
    </w:rPr>
  </w:style>
  <w:style w:type="paragraph" w:styleId="TM2">
    <w:name w:val="toc 2"/>
    <w:basedOn w:val="Normal"/>
    <w:next w:val="Normal"/>
    <w:autoRedefine/>
    <w:semiHidden/>
    <w:rsid w:val="00361802"/>
    <w:pPr>
      <w:tabs>
        <w:tab w:val="left" w:pos="1701"/>
        <w:tab w:val="right" w:leader="underscore" w:pos="9628"/>
      </w:tabs>
      <w:ind w:left="1701" w:hanging="1134"/>
    </w:pPr>
    <w:rPr>
      <w:b/>
      <w:noProof/>
      <w:sz w:val="20"/>
      <w:szCs w:val="22"/>
    </w:rPr>
  </w:style>
  <w:style w:type="paragraph" w:styleId="TM3">
    <w:name w:val="toc 3"/>
    <w:basedOn w:val="Normal"/>
    <w:next w:val="Normal"/>
    <w:autoRedefine/>
    <w:semiHidden/>
    <w:rsid w:val="00361802"/>
    <w:pPr>
      <w:tabs>
        <w:tab w:val="left" w:pos="1701"/>
        <w:tab w:val="right" w:leader="underscore" w:pos="9628"/>
      </w:tabs>
      <w:ind w:left="567"/>
      <w:jc w:val="left"/>
    </w:pPr>
    <w:rPr>
      <w:noProof/>
      <w:sz w:val="20"/>
      <w:szCs w:val="22"/>
    </w:rPr>
  </w:style>
  <w:style w:type="paragraph" w:styleId="TM4">
    <w:name w:val="toc 4"/>
    <w:basedOn w:val="Normal"/>
    <w:next w:val="Normal"/>
    <w:autoRedefine/>
    <w:semiHidden/>
    <w:rsid w:val="00361802"/>
    <w:pPr>
      <w:ind w:left="600"/>
    </w:pPr>
  </w:style>
  <w:style w:type="paragraph" w:styleId="TM5">
    <w:name w:val="toc 5"/>
    <w:basedOn w:val="Normal"/>
    <w:next w:val="Normal"/>
    <w:autoRedefine/>
    <w:semiHidden/>
    <w:rsid w:val="00361802"/>
    <w:pPr>
      <w:ind w:left="800"/>
    </w:pPr>
  </w:style>
  <w:style w:type="paragraph" w:styleId="TM6">
    <w:name w:val="toc 6"/>
    <w:basedOn w:val="Normal"/>
    <w:next w:val="Normal"/>
    <w:autoRedefine/>
    <w:semiHidden/>
    <w:rsid w:val="00361802"/>
    <w:pPr>
      <w:ind w:left="1000"/>
    </w:pPr>
  </w:style>
  <w:style w:type="paragraph" w:styleId="TM7">
    <w:name w:val="toc 7"/>
    <w:basedOn w:val="Normal"/>
    <w:next w:val="Normal"/>
    <w:autoRedefine/>
    <w:semiHidden/>
    <w:rsid w:val="00361802"/>
    <w:pPr>
      <w:ind w:left="1200"/>
    </w:pPr>
  </w:style>
  <w:style w:type="paragraph" w:styleId="TM8">
    <w:name w:val="toc 8"/>
    <w:basedOn w:val="Normal"/>
    <w:next w:val="Normal"/>
    <w:autoRedefine/>
    <w:semiHidden/>
    <w:rsid w:val="00361802"/>
    <w:pPr>
      <w:ind w:left="1400"/>
    </w:pPr>
  </w:style>
  <w:style w:type="paragraph" w:styleId="TM9">
    <w:name w:val="toc 9"/>
    <w:basedOn w:val="Normal"/>
    <w:next w:val="Normal"/>
    <w:autoRedefine/>
    <w:semiHidden/>
    <w:rsid w:val="00361802"/>
    <w:pPr>
      <w:ind w:left="1600"/>
    </w:pPr>
  </w:style>
  <w:style w:type="character" w:styleId="Lienhypertexte">
    <w:name w:val="Hyperlink"/>
    <w:semiHidden/>
    <w:rsid w:val="00361802"/>
    <w:rPr>
      <w:color w:val="0000FF"/>
      <w:u w:val="single"/>
    </w:rPr>
  </w:style>
  <w:style w:type="paragraph" w:styleId="Corpsdetexte2">
    <w:name w:val="Body Text 2"/>
    <w:basedOn w:val="Normal"/>
    <w:link w:val="Corpsdetexte2Car"/>
    <w:rsid w:val="00361802"/>
    <w:pPr>
      <w:tabs>
        <w:tab w:val="right" w:pos="8789"/>
      </w:tabs>
      <w:jc w:val="center"/>
    </w:pPr>
    <w:rPr>
      <w:b/>
      <w:i/>
      <w:sz w:val="36"/>
    </w:rPr>
  </w:style>
  <w:style w:type="character" w:customStyle="1" w:styleId="Corpsdetexte2Car">
    <w:name w:val="Corps de texte 2 Car"/>
    <w:basedOn w:val="Policepardfaut"/>
    <w:link w:val="Corpsdetexte2"/>
    <w:rsid w:val="00361802"/>
    <w:rPr>
      <w:rFonts w:ascii="Arial" w:hAnsi="Arial"/>
      <w:b/>
      <w:i/>
      <w:sz w:val="36"/>
    </w:rPr>
  </w:style>
  <w:style w:type="paragraph" w:styleId="Listepuces">
    <w:name w:val="List Bullet"/>
    <w:basedOn w:val="Normal"/>
    <w:autoRedefine/>
    <w:semiHidden/>
    <w:rsid w:val="00361802"/>
    <w:pPr>
      <w:numPr>
        <w:numId w:val="2"/>
      </w:numPr>
      <w:spacing w:before="120"/>
    </w:pPr>
  </w:style>
  <w:style w:type="paragraph" w:styleId="Liste">
    <w:name w:val="List"/>
    <w:basedOn w:val="Normal"/>
    <w:semiHidden/>
    <w:rsid w:val="00361802"/>
    <w:pPr>
      <w:tabs>
        <w:tab w:val="left" w:pos="2835"/>
      </w:tabs>
      <w:jc w:val="left"/>
    </w:pPr>
    <w:rPr>
      <w:caps/>
      <w:u w:val="single"/>
    </w:rPr>
  </w:style>
  <w:style w:type="paragraph" w:styleId="Listepuces2">
    <w:name w:val="List Bullet 2"/>
    <w:basedOn w:val="Normal"/>
    <w:autoRedefine/>
    <w:semiHidden/>
    <w:rsid w:val="00361802"/>
    <w:pPr>
      <w:numPr>
        <w:numId w:val="3"/>
      </w:numPr>
    </w:pPr>
  </w:style>
  <w:style w:type="paragraph" w:styleId="Corpsdetexte3">
    <w:name w:val="Body Text 3"/>
    <w:basedOn w:val="Normal"/>
    <w:link w:val="Corpsdetexte3Car"/>
    <w:semiHidden/>
    <w:rsid w:val="00361802"/>
    <w:pPr>
      <w:spacing w:before="360" w:after="240"/>
      <w:jc w:val="center"/>
    </w:pPr>
    <w:rPr>
      <w:i/>
      <w:sz w:val="24"/>
      <w:szCs w:val="16"/>
    </w:rPr>
  </w:style>
  <w:style w:type="character" w:customStyle="1" w:styleId="Corpsdetexte3Car">
    <w:name w:val="Corps de texte 3 Car"/>
    <w:basedOn w:val="Policepardfaut"/>
    <w:link w:val="Corpsdetexte3"/>
    <w:semiHidden/>
    <w:rsid w:val="00361802"/>
    <w:rPr>
      <w:rFonts w:ascii="Arial" w:hAnsi="Arial"/>
      <w:i/>
      <w:sz w:val="24"/>
      <w:szCs w:val="16"/>
    </w:rPr>
  </w:style>
  <w:style w:type="paragraph" w:styleId="Index1">
    <w:name w:val="index 1"/>
    <w:basedOn w:val="Normal"/>
    <w:next w:val="Normal"/>
    <w:autoRedefine/>
    <w:semiHidden/>
    <w:rsid w:val="00361802"/>
    <w:pPr>
      <w:pBdr>
        <w:top w:val="single" w:sz="4" w:space="15" w:color="auto"/>
        <w:left w:val="single" w:sz="4" w:space="4" w:color="auto"/>
        <w:bottom w:val="single" w:sz="4" w:space="15" w:color="auto"/>
        <w:right w:val="single" w:sz="4" w:space="4" w:color="auto"/>
      </w:pBdr>
      <w:ind w:left="1134" w:right="1134"/>
      <w:jc w:val="center"/>
    </w:pPr>
    <w:rPr>
      <w:b/>
      <w:sz w:val="36"/>
    </w:rPr>
  </w:style>
  <w:style w:type="paragraph" w:styleId="Index2">
    <w:name w:val="index 2"/>
    <w:basedOn w:val="Normal"/>
    <w:next w:val="Normal"/>
    <w:autoRedefine/>
    <w:semiHidden/>
    <w:rsid w:val="00361802"/>
    <w:pPr>
      <w:jc w:val="center"/>
    </w:pPr>
    <w:rPr>
      <w:b/>
      <w:sz w:val="28"/>
    </w:rPr>
  </w:style>
  <w:style w:type="paragraph" w:customStyle="1" w:styleId="Essai">
    <w:name w:val="Essai"/>
    <w:basedOn w:val="Normal"/>
    <w:autoRedefine/>
    <w:rsid w:val="00361802"/>
    <w:pPr>
      <w:jc w:val="center"/>
    </w:pPr>
    <w:rPr>
      <w:rFonts w:ascii="Tahoma" w:hAnsi="Tahoma"/>
      <w:b/>
      <w:sz w:val="18"/>
    </w:rPr>
  </w:style>
  <w:style w:type="paragraph" w:styleId="Index3">
    <w:name w:val="index 3"/>
    <w:basedOn w:val="Normal"/>
    <w:next w:val="Normal"/>
    <w:autoRedefine/>
    <w:semiHidden/>
    <w:rsid w:val="00361802"/>
    <w:pPr>
      <w:jc w:val="center"/>
    </w:pPr>
    <w:rPr>
      <w:sz w:val="18"/>
    </w:rPr>
  </w:style>
  <w:style w:type="paragraph" w:styleId="Commentaire">
    <w:name w:val="annotation text"/>
    <w:basedOn w:val="Normal"/>
    <w:link w:val="CommentaireCar"/>
    <w:semiHidden/>
    <w:rsid w:val="00361802"/>
    <w:pPr>
      <w:tabs>
        <w:tab w:val="left" w:pos="1134"/>
      </w:tabs>
      <w:jc w:val="left"/>
    </w:pPr>
    <w:rPr>
      <w:sz w:val="24"/>
    </w:rPr>
  </w:style>
  <w:style w:type="character" w:customStyle="1" w:styleId="CommentaireCar">
    <w:name w:val="Commentaire Car"/>
    <w:basedOn w:val="Policepardfaut"/>
    <w:link w:val="Commentaire"/>
    <w:semiHidden/>
    <w:rsid w:val="00361802"/>
    <w:rPr>
      <w:rFonts w:ascii="Arial" w:hAnsi="Arial"/>
      <w:sz w:val="24"/>
    </w:rPr>
  </w:style>
  <w:style w:type="paragraph" w:styleId="Listenumros">
    <w:name w:val="List Number"/>
    <w:basedOn w:val="Normal"/>
    <w:semiHidden/>
    <w:rsid w:val="00361802"/>
    <w:pPr>
      <w:numPr>
        <w:numId w:val="4"/>
      </w:numPr>
      <w:spacing w:before="240" w:after="240"/>
      <w:jc w:val="left"/>
    </w:pPr>
    <w:rPr>
      <w:u w:val="single"/>
    </w:rPr>
  </w:style>
  <w:style w:type="paragraph" w:styleId="Liste2">
    <w:name w:val="List 2"/>
    <w:basedOn w:val="Normal"/>
    <w:semiHidden/>
    <w:rsid w:val="00361802"/>
    <w:pPr>
      <w:spacing w:before="240" w:after="240"/>
    </w:pPr>
    <w:rPr>
      <w:b/>
      <w:u w:val="single"/>
    </w:rPr>
  </w:style>
  <w:style w:type="paragraph" w:customStyle="1" w:styleId="Style1">
    <w:name w:val="Style1"/>
    <w:basedOn w:val="Normal"/>
    <w:autoRedefine/>
    <w:rsid w:val="00361802"/>
    <w:rPr>
      <w:rFonts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1622</Words>
  <Characters>8923</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baleret</dc:creator>
  <cp:keywords/>
  <dc:description/>
  <cp:lastModifiedBy>baleret</cp:lastModifiedBy>
  <cp:revision>4</cp:revision>
  <dcterms:created xsi:type="dcterms:W3CDTF">2014-01-09T16:21:00Z</dcterms:created>
  <dcterms:modified xsi:type="dcterms:W3CDTF">2014-01-22T07:39:00Z</dcterms:modified>
</cp:coreProperties>
</file>