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5B5" w:rsidRPr="001A549E" w:rsidRDefault="00DB35B5" w:rsidP="000D1370">
      <w:pPr>
        <w:jc w:val="center"/>
        <w:rPr>
          <w:b/>
          <w:i/>
          <w:u w:val="single"/>
        </w:rPr>
      </w:pPr>
    </w:p>
    <w:p w:rsidR="000D1370" w:rsidRPr="001A549E" w:rsidRDefault="000D1370" w:rsidP="000D1370">
      <w:pPr>
        <w:jc w:val="center"/>
        <w:rPr>
          <w:b/>
          <w:i/>
          <w:u w:val="single"/>
        </w:rPr>
      </w:pPr>
      <w:r w:rsidRPr="001A549E">
        <w:rPr>
          <w:b/>
          <w:i/>
          <w:u w:val="single"/>
        </w:rPr>
        <w:t>FICHE DE SECURITE PRODUIT</w:t>
      </w:r>
    </w:p>
    <w:p w:rsidR="000D1370" w:rsidRPr="001A549E" w:rsidRDefault="000D1370" w:rsidP="000D1370">
      <w:pPr>
        <w:rPr>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4976"/>
        <w:gridCol w:w="2268"/>
      </w:tblGrid>
      <w:tr w:rsidR="000D1370" w:rsidRPr="001A549E" w:rsidTr="00913ECB">
        <w:trPr>
          <w:trHeight w:hRule="exact" w:val="326"/>
        </w:trPr>
        <w:tc>
          <w:tcPr>
            <w:tcW w:w="10314" w:type="dxa"/>
            <w:gridSpan w:val="3"/>
          </w:tcPr>
          <w:p w:rsidR="000D1370" w:rsidRPr="001A549E" w:rsidRDefault="001A549E" w:rsidP="008038DA">
            <w:pPr>
              <w:jc w:val="center"/>
              <w:rPr>
                <w:b/>
                <w:i/>
                <w:u w:val="single"/>
              </w:rPr>
            </w:pPr>
            <w:r>
              <w:rPr>
                <w:b/>
              </w:rPr>
              <w:t>HUILE ESSENTIELLE DE LAVANDIN</w:t>
            </w:r>
          </w:p>
        </w:tc>
      </w:tr>
      <w:tr w:rsidR="000D1370" w:rsidRPr="001A549E" w:rsidTr="00913ECB">
        <w:trPr>
          <w:trHeight w:val="70"/>
        </w:trPr>
        <w:tc>
          <w:tcPr>
            <w:tcW w:w="3070" w:type="dxa"/>
            <w:vAlign w:val="center"/>
          </w:tcPr>
          <w:p w:rsidR="000D1370" w:rsidRPr="001A549E" w:rsidRDefault="000D1370" w:rsidP="00913ECB">
            <w:pPr>
              <w:jc w:val="center"/>
              <w:rPr>
                <w:b/>
                <w:i/>
                <w:u w:val="single"/>
              </w:rPr>
            </w:pPr>
            <w:r w:rsidRPr="001A549E">
              <w:rPr>
                <w:sz w:val="22"/>
                <w:szCs w:val="22"/>
              </w:rPr>
              <w:t>Aspect :</w:t>
            </w:r>
          </w:p>
        </w:tc>
        <w:tc>
          <w:tcPr>
            <w:tcW w:w="4976" w:type="dxa"/>
          </w:tcPr>
          <w:p w:rsidR="000D1370" w:rsidRPr="001A549E" w:rsidRDefault="001A549E" w:rsidP="00B52C5B">
            <w:pPr>
              <w:jc w:val="center"/>
              <w:rPr>
                <w:b/>
                <w:i/>
                <w:u w:val="single"/>
              </w:rPr>
            </w:pPr>
            <w:r>
              <w:rPr>
                <w:sz w:val="22"/>
                <w:szCs w:val="22"/>
              </w:rPr>
              <w:t xml:space="preserve">Liquide </w:t>
            </w:r>
            <w:r w:rsidR="00B52C5B">
              <w:rPr>
                <w:sz w:val="22"/>
                <w:szCs w:val="22"/>
              </w:rPr>
              <w:t>mobile limpide jaune clair</w:t>
            </w:r>
          </w:p>
        </w:tc>
        <w:tc>
          <w:tcPr>
            <w:tcW w:w="2268" w:type="dxa"/>
            <w:vMerge w:val="restart"/>
            <w:vAlign w:val="center"/>
          </w:tcPr>
          <w:p w:rsidR="000D1370" w:rsidRPr="001A549E" w:rsidRDefault="006277CE" w:rsidP="00913ECB">
            <w:pPr>
              <w:jc w:val="center"/>
            </w:pPr>
            <w:r w:rsidRPr="001A549E">
              <w:rPr>
                <w:noProof/>
              </w:rPr>
              <w:drawing>
                <wp:inline distT="0" distB="0" distL="0" distR="0">
                  <wp:extent cx="571500" cy="571500"/>
                  <wp:effectExtent l="19050" t="0" r="0" b="0"/>
                  <wp:docPr id="7" name="Image 6" descr="excl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lam.jpg"/>
                          <pic:cNvPicPr/>
                        </pic:nvPicPr>
                        <pic:blipFill>
                          <a:blip r:embed="rId8" cstate="print"/>
                          <a:stretch>
                            <a:fillRect/>
                          </a:stretch>
                        </pic:blipFill>
                        <pic:spPr>
                          <a:xfrm>
                            <a:off x="0" y="0"/>
                            <a:ext cx="571500" cy="571500"/>
                          </a:xfrm>
                          <a:prstGeom prst="rect">
                            <a:avLst/>
                          </a:prstGeom>
                        </pic:spPr>
                      </pic:pic>
                    </a:graphicData>
                  </a:graphic>
                </wp:inline>
              </w:drawing>
            </w:r>
          </w:p>
          <w:p w:rsidR="006506F8" w:rsidRPr="001A549E" w:rsidRDefault="00AE6B6F" w:rsidP="00913ECB">
            <w:pPr>
              <w:jc w:val="center"/>
            </w:pPr>
            <w:r w:rsidRPr="001A549E">
              <w:t>ATTENTION</w:t>
            </w:r>
          </w:p>
        </w:tc>
      </w:tr>
      <w:tr w:rsidR="000D1370" w:rsidRPr="001A549E" w:rsidTr="00913ECB">
        <w:tc>
          <w:tcPr>
            <w:tcW w:w="3070" w:type="dxa"/>
            <w:vAlign w:val="center"/>
          </w:tcPr>
          <w:p w:rsidR="000D1370" w:rsidRPr="001A549E" w:rsidRDefault="000D1370" w:rsidP="00913ECB">
            <w:pPr>
              <w:jc w:val="center"/>
              <w:rPr>
                <w:sz w:val="22"/>
                <w:szCs w:val="22"/>
              </w:rPr>
            </w:pPr>
            <w:r w:rsidRPr="001A549E">
              <w:rPr>
                <w:sz w:val="22"/>
                <w:szCs w:val="22"/>
              </w:rPr>
              <w:t>Formule</w:t>
            </w:r>
          </w:p>
          <w:p w:rsidR="000D1370" w:rsidRPr="001A549E" w:rsidRDefault="000D1370" w:rsidP="00913ECB">
            <w:pPr>
              <w:jc w:val="center"/>
              <w:rPr>
                <w:b/>
                <w:i/>
                <w:u w:val="single"/>
              </w:rPr>
            </w:pPr>
            <w:r w:rsidRPr="001A549E">
              <w:rPr>
                <w:sz w:val="22"/>
                <w:szCs w:val="22"/>
              </w:rPr>
              <w:t>chimique :</w:t>
            </w:r>
          </w:p>
        </w:tc>
        <w:tc>
          <w:tcPr>
            <w:tcW w:w="4976" w:type="dxa"/>
          </w:tcPr>
          <w:p w:rsidR="000D1370" w:rsidRPr="001A549E" w:rsidRDefault="001A549E" w:rsidP="00B52C5B">
            <w:pPr>
              <w:jc w:val="center"/>
            </w:pPr>
            <w:r>
              <w:t xml:space="preserve">Substance complexe naturelle composée </w:t>
            </w:r>
            <w:r w:rsidR="00B52C5B" w:rsidRPr="00B52C5B">
              <w:t xml:space="preserve">essentiellement de </w:t>
            </w:r>
            <w:proofErr w:type="spellStart"/>
            <w:r w:rsidR="00B52C5B">
              <w:rPr>
                <w:bCs/>
              </w:rPr>
              <w:t>Linalol</w:t>
            </w:r>
            <w:proofErr w:type="spellEnd"/>
            <w:r w:rsidR="00B52C5B">
              <w:rPr>
                <w:bCs/>
              </w:rPr>
              <w:t xml:space="preserve"> (</w:t>
            </w:r>
            <w:r w:rsidR="00B52C5B" w:rsidRPr="00B52C5B">
              <w:rPr>
                <w:bCs/>
              </w:rPr>
              <w:t xml:space="preserve">37,00%) </w:t>
            </w:r>
            <w:r w:rsidR="00B52C5B">
              <w:rPr>
                <w:bCs/>
              </w:rPr>
              <w:t>Camphre (</w:t>
            </w:r>
            <w:r w:rsidR="00B52C5B" w:rsidRPr="00B52C5B">
              <w:rPr>
                <w:bCs/>
              </w:rPr>
              <w:t xml:space="preserve">7,00%) </w:t>
            </w:r>
            <w:r w:rsidR="00B52C5B">
              <w:rPr>
                <w:bCs/>
              </w:rPr>
              <w:t>1,8 Cinéol (</w:t>
            </w:r>
            <w:r w:rsidR="00B52C5B" w:rsidRPr="00B52C5B">
              <w:rPr>
                <w:bCs/>
              </w:rPr>
              <w:t>6,00%</w:t>
            </w:r>
            <w:r w:rsidR="00B52C5B">
              <w:rPr>
                <w:bCs/>
              </w:rPr>
              <w:t xml:space="preserve">) </w:t>
            </w:r>
            <w:proofErr w:type="spellStart"/>
            <w:r w:rsidR="00B52C5B">
              <w:rPr>
                <w:bCs/>
              </w:rPr>
              <w:t>Bornéol</w:t>
            </w:r>
            <w:proofErr w:type="spellEnd"/>
            <w:r w:rsidR="00B52C5B">
              <w:rPr>
                <w:bCs/>
              </w:rPr>
              <w:t xml:space="preserve"> (</w:t>
            </w:r>
            <w:r w:rsidR="00B52C5B" w:rsidRPr="00B52C5B">
              <w:rPr>
                <w:bCs/>
              </w:rPr>
              <w:t>3,00%)</w:t>
            </w:r>
            <w:r w:rsidR="00B52C5B">
              <w:rPr>
                <w:b/>
                <w:bCs/>
                <w:sz w:val="12"/>
                <w:szCs w:val="12"/>
              </w:rPr>
              <w:t xml:space="preserve"> </w:t>
            </w:r>
          </w:p>
        </w:tc>
        <w:tc>
          <w:tcPr>
            <w:tcW w:w="2268" w:type="dxa"/>
            <w:vMerge/>
          </w:tcPr>
          <w:p w:rsidR="000D1370" w:rsidRPr="001A549E" w:rsidRDefault="000D1370" w:rsidP="00913ECB">
            <w:pPr>
              <w:jc w:val="center"/>
              <w:rPr>
                <w:b/>
                <w:i/>
                <w:u w:val="single"/>
              </w:rPr>
            </w:pPr>
          </w:p>
        </w:tc>
      </w:tr>
      <w:tr w:rsidR="000D1370" w:rsidRPr="001A549E" w:rsidTr="00913ECB">
        <w:tc>
          <w:tcPr>
            <w:tcW w:w="3070" w:type="dxa"/>
            <w:vAlign w:val="center"/>
          </w:tcPr>
          <w:p w:rsidR="000D1370" w:rsidRPr="001A549E" w:rsidRDefault="000D1370" w:rsidP="00913ECB">
            <w:pPr>
              <w:jc w:val="center"/>
              <w:rPr>
                <w:sz w:val="22"/>
                <w:szCs w:val="22"/>
              </w:rPr>
            </w:pPr>
            <w:r w:rsidRPr="001A549E">
              <w:rPr>
                <w:sz w:val="22"/>
                <w:szCs w:val="22"/>
              </w:rPr>
              <w:t>Synonyme :</w:t>
            </w:r>
          </w:p>
        </w:tc>
        <w:tc>
          <w:tcPr>
            <w:tcW w:w="4976" w:type="dxa"/>
          </w:tcPr>
          <w:p w:rsidR="000D1370" w:rsidRPr="001A549E" w:rsidRDefault="001A549E" w:rsidP="001A549E">
            <w:pPr>
              <w:jc w:val="center"/>
            </w:pPr>
            <w:r w:rsidRPr="001A549E">
              <w:t xml:space="preserve"> Nom Botanique : </w:t>
            </w:r>
            <w:proofErr w:type="spellStart"/>
            <w:r w:rsidRPr="001A549E">
              <w:rPr>
                <w:bCs/>
              </w:rPr>
              <w:t>Lavandula</w:t>
            </w:r>
            <w:proofErr w:type="spellEnd"/>
            <w:r w:rsidRPr="001A549E">
              <w:rPr>
                <w:bCs/>
              </w:rPr>
              <w:t xml:space="preserve">  hybrida </w:t>
            </w:r>
            <w:proofErr w:type="spellStart"/>
            <w:r w:rsidRPr="001A549E">
              <w:rPr>
                <w:bCs/>
              </w:rPr>
              <w:t>oil</w:t>
            </w:r>
            <w:proofErr w:type="spellEnd"/>
          </w:p>
        </w:tc>
        <w:tc>
          <w:tcPr>
            <w:tcW w:w="2268" w:type="dxa"/>
            <w:vMerge/>
          </w:tcPr>
          <w:p w:rsidR="000D1370" w:rsidRPr="001A549E" w:rsidRDefault="000D1370" w:rsidP="00913ECB">
            <w:pPr>
              <w:jc w:val="center"/>
              <w:rPr>
                <w:b/>
                <w:i/>
                <w:u w:val="single"/>
              </w:rPr>
            </w:pPr>
          </w:p>
        </w:tc>
      </w:tr>
    </w:tbl>
    <w:p w:rsidR="000D1370" w:rsidRPr="001A549E" w:rsidRDefault="000D1370" w:rsidP="000D1370">
      <w:pPr>
        <w:jc w:val="center"/>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0D1370" w:rsidRPr="001A549E" w:rsidTr="00913ECB">
        <w:trPr>
          <w:trHeight w:hRule="exact" w:val="377"/>
        </w:trPr>
        <w:tc>
          <w:tcPr>
            <w:tcW w:w="10314" w:type="dxa"/>
          </w:tcPr>
          <w:p w:rsidR="000D1370" w:rsidRPr="001A549E" w:rsidRDefault="000D1370" w:rsidP="00913ECB">
            <w:pPr>
              <w:jc w:val="center"/>
              <w:rPr>
                <w:b/>
                <w:i/>
                <w:u w:val="single"/>
              </w:rPr>
            </w:pPr>
            <w:r w:rsidRPr="001A549E">
              <w:rPr>
                <w:b/>
              </w:rPr>
              <w:t>EQUIPEMENTS NECESSAIRES</w:t>
            </w:r>
          </w:p>
        </w:tc>
      </w:tr>
      <w:tr w:rsidR="000D1370" w:rsidRPr="001A549E" w:rsidTr="00913ECB">
        <w:trPr>
          <w:trHeight w:hRule="exact" w:val="1083"/>
        </w:trPr>
        <w:tc>
          <w:tcPr>
            <w:tcW w:w="10314" w:type="dxa"/>
          </w:tcPr>
          <w:p w:rsidR="000D1370" w:rsidRPr="001A549E" w:rsidRDefault="00B13E4A" w:rsidP="001A549E">
            <w:pPr>
              <w:jc w:val="center"/>
              <w:rPr>
                <w:b/>
              </w:rPr>
            </w:pPr>
            <w:r w:rsidRPr="001A549E">
              <w:rPr>
                <w:noProof/>
                <w:sz w:val="22"/>
                <w:szCs w:val="22"/>
              </w:rPr>
              <w:drawing>
                <wp:inline distT="0" distB="0" distL="0" distR="0">
                  <wp:extent cx="628650" cy="628650"/>
                  <wp:effectExtent l="19050" t="0" r="0" b="0"/>
                  <wp:docPr id="1" name="Image 1" descr="ProtectionObligatoireCor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tectionObligatoireCorps"/>
                          <pic:cNvPicPr>
                            <a:picLocks noChangeAspect="1" noChangeArrowheads="1"/>
                          </pic:cNvPicPr>
                        </pic:nvPicPr>
                        <pic:blipFill>
                          <a:blip r:embed="rId9" cstate="print"/>
                          <a:srcRect/>
                          <a:stretch>
                            <a:fillRect/>
                          </a:stretch>
                        </pic:blipFill>
                        <pic:spPr bwMode="auto">
                          <a:xfrm>
                            <a:off x="0" y="0"/>
                            <a:ext cx="628650" cy="628650"/>
                          </a:xfrm>
                          <a:prstGeom prst="rect">
                            <a:avLst/>
                          </a:prstGeom>
                          <a:noFill/>
                          <a:ln w="9525">
                            <a:noFill/>
                            <a:miter lim="800000"/>
                            <a:headEnd/>
                            <a:tailEnd/>
                          </a:ln>
                        </pic:spPr>
                      </pic:pic>
                    </a:graphicData>
                  </a:graphic>
                </wp:inline>
              </w:drawing>
            </w:r>
            <w:r w:rsidR="001A549E">
              <w:rPr>
                <w:sz w:val="22"/>
                <w:szCs w:val="22"/>
              </w:rPr>
              <w:t xml:space="preserve">   </w:t>
            </w:r>
            <w:r w:rsidRPr="001A549E">
              <w:rPr>
                <w:noProof/>
                <w:sz w:val="22"/>
                <w:szCs w:val="22"/>
              </w:rPr>
              <w:drawing>
                <wp:inline distT="0" distB="0" distL="0" distR="0">
                  <wp:extent cx="609600" cy="609600"/>
                  <wp:effectExtent l="19050" t="0" r="0" b="0"/>
                  <wp:docPr id="3" name="Image 3" descr="ProtectionObligatoireM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tectionObligatoireMains"/>
                          <pic:cNvPicPr>
                            <a:picLocks noChangeAspect="1" noChangeArrowheads="1"/>
                          </pic:cNvPicPr>
                        </pic:nvPicPr>
                        <pic:blipFill>
                          <a:blip r:embed="rId10"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r w:rsidR="000D1370" w:rsidRPr="001A549E">
              <w:rPr>
                <w:sz w:val="22"/>
                <w:szCs w:val="22"/>
              </w:rPr>
              <w:t xml:space="preserve">   </w:t>
            </w:r>
            <w:r w:rsidRPr="001A549E">
              <w:rPr>
                <w:noProof/>
                <w:sz w:val="22"/>
                <w:szCs w:val="22"/>
              </w:rPr>
              <w:drawing>
                <wp:inline distT="0" distB="0" distL="0" distR="0">
                  <wp:extent cx="609600" cy="609600"/>
                  <wp:effectExtent l="19050" t="0" r="0" b="0"/>
                  <wp:docPr id="4" name="Image 4" descr="ProtectionObligatoirePi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tionObligatoirePieds"/>
                          <pic:cNvPicPr>
                            <a:picLocks noChangeAspect="1" noChangeArrowheads="1"/>
                          </pic:cNvPicPr>
                        </pic:nvPicPr>
                        <pic:blipFill>
                          <a:blip r:embed="rId11"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r w:rsidR="000D1370" w:rsidRPr="001A549E">
              <w:rPr>
                <w:sz w:val="22"/>
                <w:szCs w:val="22"/>
              </w:rPr>
              <w:t xml:space="preserve">   </w:t>
            </w:r>
            <w:r w:rsidRPr="001A549E">
              <w:rPr>
                <w:noProof/>
                <w:sz w:val="22"/>
                <w:szCs w:val="22"/>
              </w:rPr>
              <w:drawing>
                <wp:inline distT="0" distB="0" distL="0" distR="0">
                  <wp:extent cx="657225" cy="657225"/>
                  <wp:effectExtent l="19050" t="0" r="9525" b="0"/>
                  <wp:docPr id="5" name="Image 5" descr="ProtectionObligatoireV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tectionObligatoireVue"/>
                          <pic:cNvPicPr>
                            <a:picLocks noChangeAspect="1" noChangeArrowheads="1"/>
                          </pic:cNvPicPr>
                        </pic:nvPicPr>
                        <pic:blipFill>
                          <a:blip r:embed="rId12" cstate="print"/>
                          <a:srcRect/>
                          <a:stretch>
                            <a:fillRect/>
                          </a:stretch>
                        </pic:blipFill>
                        <pic:spPr bwMode="auto">
                          <a:xfrm>
                            <a:off x="0" y="0"/>
                            <a:ext cx="657225" cy="657225"/>
                          </a:xfrm>
                          <a:prstGeom prst="rect">
                            <a:avLst/>
                          </a:prstGeom>
                          <a:noFill/>
                          <a:ln w="9525">
                            <a:noFill/>
                            <a:miter lim="800000"/>
                            <a:headEnd/>
                            <a:tailEnd/>
                          </a:ln>
                        </pic:spPr>
                      </pic:pic>
                    </a:graphicData>
                  </a:graphic>
                </wp:inline>
              </w:drawing>
            </w:r>
          </w:p>
        </w:tc>
      </w:tr>
    </w:tbl>
    <w:p w:rsidR="000D1370" w:rsidRPr="001A549E" w:rsidRDefault="000D1370" w:rsidP="000D137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8046"/>
      </w:tblGrid>
      <w:tr w:rsidR="000D1370" w:rsidRPr="001A549E" w:rsidTr="00913ECB">
        <w:tc>
          <w:tcPr>
            <w:tcW w:w="2268" w:type="dxa"/>
          </w:tcPr>
          <w:p w:rsidR="000D1370" w:rsidRPr="001A549E" w:rsidRDefault="006506F8" w:rsidP="0065068B">
            <w:pPr>
              <w:rPr>
                <w:sz w:val="22"/>
                <w:szCs w:val="22"/>
              </w:rPr>
            </w:pPr>
            <w:r w:rsidRPr="001A549E">
              <w:rPr>
                <w:sz w:val="22"/>
                <w:szCs w:val="22"/>
              </w:rPr>
              <w:t>Mentions de danger</w:t>
            </w:r>
          </w:p>
          <w:p w:rsidR="000D1370" w:rsidRPr="001A549E" w:rsidRDefault="000D1370" w:rsidP="00913ECB">
            <w:pPr>
              <w:jc w:val="center"/>
              <w:rPr>
                <w:sz w:val="22"/>
                <w:szCs w:val="22"/>
              </w:rPr>
            </w:pPr>
          </w:p>
        </w:tc>
        <w:tc>
          <w:tcPr>
            <w:tcW w:w="8046" w:type="dxa"/>
          </w:tcPr>
          <w:p w:rsidR="00AE6B6F" w:rsidRPr="001A549E" w:rsidRDefault="00AE6B6F" w:rsidP="00AE6B6F">
            <w:pPr>
              <w:pStyle w:val="Default"/>
              <w:rPr>
                <w:rFonts w:ascii="Times New Roman" w:hAnsi="Times New Roman" w:cs="Times New Roman"/>
              </w:rPr>
            </w:pPr>
            <w:r w:rsidRPr="001A549E">
              <w:rPr>
                <w:rFonts w:ascii="Times New Roman" w:hAnsi="Times New Roman" w:cs="Times New Roman"/>
                <w:b/>
                <w:bCs/>
              </w:rPr>
              <w:t>H315</w:t>
            </w:r>
            <w:r w:rsidR="001A549E" w:rsidRPr="001A549E">
              <w:rPr>
                <w:rFonts w:ascii="Times New Roman" w:hAnsi="Times New Roman" w:cs="Times New Roman"/>
                <w:bCs/>
              </w:rPr>
              <w:t xml:space="preserve"> : </w:t>
            </w:r>
            <w:r w:rsidRPr="001A549E">
              <w:rPr>
                <w:rFonts w:ascii="Times New Roman" w:hAnsi="Times New Roman" w:cs="Times New Roman"/>
                <w:bCs/>
              </w:rPr>
              <w:t xml:space="preserve">Provoque une irritation cutanée </w:t>
            </w:r>
          </w:p>
          <w:p w:rsidR="000D1370" w:rsidRPr="001A549E" w:rsidRDefault="00AE6B6F" w:rsidP="00AE6B6F">
            <w:pPr>
              <w:rPr>
                <w:bCs/>
              </w:rPr>
            </w:pPr>
            <w:r w:rsidRPr="001A549E">
              <w:rPr>
                <w:b/>
                <w:bCs/>
              </w:rPr>
              <w:t>H317</w:t>
            </w:r>
            <w:r w:rsidR="001A549E" w:rsidRPr="001A549E">
              <w:rPr>
                <w:bCs/>
              </w:rPr>
              <w:t> :</w:t>
            </w:r>
            <w:r w:rsidRPr="001A549E">
              <w:rPr>
                <w:bCs/>
              </w:rPr>
              <w:t xml:space="preserve"> Peut provoquer une allergie cutanée </w:t>
            </w:r>
          </w:p>
          <w:p w:rsidR="001A549E" w:rsidRPr="001A549E" w:rsidRDefault="001A549E" w:rsidP="001A549E">
            <w:pPr>
              <w:pStyle w:val="Default"/>
              <w:rPr>
                <w:rFonts w:ascii="Times New Roman" w:hAnsi="Times New Roman" w:cs="Times New Roman"/>
              </w:rPr>
            </w:pPr>
            <w:r w:rsidRPr="001A549E">
              <w:rPr>
                <w:rFonts w:ascii="Times New Roman" w:hAnsi="Times New Roman" w:cs="Times New Roman"/>
                <w:b/>
                <w:bCs/>
              </w:rPr>
              <w:t>H412</w:t>
            </w:r>
            <w:r w:rsidRPr="001A549E">
              <w:rPr>
                <w:rFonts w:ascii="Times New Roman" w:hAnsi="Times New Roman" w:cs="Times New Roman"/>
                <w:bCs/>
              </w:rPr>
              <w:t xml:space="preserve"> : Nocif pour les organismes aquatiques, entraîne des effets néfastes à long terme. </w:t>
            </w:r>
          </w:p>
        </w:tc>
      </w:tr>
      <w:tr w:rsidR="000D1370" w:rsidRPr="001A549E" w:rsidTr="00913ECB">
        <w:tc>
          <w:tcPr>
            <w:tcW w:w="2268" w:type="dxa"/>
          </w:tcPr>
          <w:p w:rsidR="000D1370" w:rsidRPr="001A549E" w:rsidRDefault="000D1370" w:rsidP="0065068B">
            <w:pPr>
              <w:rPr>
                <w:sz w:val="22"/>
                <w:szCs w:val="22"/>
              </w:rPr>
            </w:pPr>
            <w:r w:rsidRPr="001A549E">
              <w:rPr>
                <w:sz w:val="22"/>
                <w:szCs w:val="22"/>
              </w:rPr>
              <w:t xml:space="preserve">Conseils de </w:t>
            </w:r>
            <w:r w:rsidR="006506F8" w:rsidRPr="001A549E">
              <w:rPr>
                <w:sz w:val="22"/>
                <w:szCs w:val="22"/>
              </w:rPr>
              <w:t>prudence</w:t>
            </w:r>
          </w:p>
          <w:p w:rsidR="000D1370" w:rsidRPr="001A549E" w:rsidRDefault="000D1370" w:rsidP="00913ECB">
            <w:pPr>
              <w:jc w:val="center"/>
              <w:rPr>
                <w:sz w:val="22"/>
                <w:szCs w:val="22"/>
              </w:rPr>
            </w:pPr>
          </w:p>
        </w:tc>
        <w:tc>
          <w:tcPr>
            <w:tcW w:w="8046" w:type="dxa"/>
          </w:tcPr>
          <w:p w:rsidR="001A549E" w:rsidRPr="001A549E" w:rsidRDefault="001A549E" w:rsidP="001A549E">
            <w:pPr>
              <w:pStyle w:val="Default"/>
              <w:rPr>
                <w:rFonts w:ascii="Times New Roman" w:hAnsi="Times New Roman" w:cs="Times New Roman"/>
                <w:bCs/>
              </w:rPr>
            </w:pPr>
            <w:r w:rsidRPr="001A549E">
              <w:rPr>
                <w:rFonts w:ascii="Times New Roman" w:hAnsi="Times New Roman" w:cs="Times New Roman"/>
                <w:b/>
                <w:bCs/>
              </w:rPr>
              <w:t>P273</w:t>
            </w:r>
            <w:r w:rsidRPr="001A549E">
              <w:rPr>
                <w:rFonts w:ascii="Times New Roman" w:hAnsi="Times New Roman" w:cs="Times New Roman"/>
                <w:bCs/>
              </w:rPr>
              <w:t xml:space="preserve"> : Éviter le rejet dans l’environnement </w:t>
            </w:r>
          </w:p>
          <w:p w:rsidR="001A549E" w:rsidRPr="001A549E" w:rsidRDefault="001A549E" w:rsidP="001A549E">
            <w:pPr>
              <w:pStyle w:val="Default"/>
              <w:rPr>
                <w:rFonts w:ascii="Times New Roman" w:hAnsi="Times New Roman" w:cs="Times New Roman"/>
                <w:bCs/>
              </w:rPr>
            </w:pPr>
            <w:r w:rsidRPr="001A549E">
              <w:rPr>
                <w:rFonts w:ascii="Times New Roman" w:hAnsi="Times New Roman" w:cs="Times New Roman"/>
                <w:b/>
                <w:bCs/>
              </w:rPr>
              <w:t>P280</w:t>
            </w:r>
            <w:r w:rsidRPr="001A549E">
              <w:rPr>
                <w:rFonts w:ascii="Times New Roman" w:hAnsi="Times New Roman" w:cs="Times New Roman"/>
                <w:bCs/>
              </w:rPr>
              <w:t xml:space="preserve"> : Porter des gants de protection/des vêtements de protection/un équipement de protection des yeux/du visage. </w:t>
            </w:r>
          </w:p>
          <w:p w:rsidR="001A549E" w:rsidRPr="001A549E" w:rsidRDefault="001A549E" w:rsidP="001A549E">
            <w:pPr>
              <w:pStyle w:val="Default"/>
              <w:rPr>
                <w:rFonts w:ascii="Times New Roman" w:hAnsi="Times New Roman" w:cs="Times New Roman"/>
                <w:bCs/>
              </w:rPr>
            </w:pPr>
            <w:r w:rsidRPr="001A549E">
              <w:rPr>
                <w:rFonts w:ascii="Times New Roman" w:hAnsi="Times New Roman" w:cs="Times New Roman"/>
                <w:b/>
                <w:bCs/>
              </w:rPr>
              <w:t>P302 + P352</w:t>
            </w:r>
            <w:r w:rsidRPr="001A549E">
              <w:rPr>
                <w:rFonts w:ascii="Times New Roman" w:hAnsi="Times New Roman" w:cs="Times New Roman"/>
                <w:bCs/>
              </w:rPr>
              <w:t xml:space="preserve"> : EN CAS DE CONTACT AVEC LA PEAU: laver abondamment à l’eau et au savon. </w:t>
            </w:r>
          </w:p>
          <w:p w:rsidR="000D1370" w:rsidRPr="009819C9" w:rsidRDefault="001A549E" w:rsidP="001A549E">
            <w:pPr>
              <w:pStyle w:val="Default"/>
              <w:rPr>
                <w:rFonts w:ascii="Times New Roman" w:hAnsi="Times New Roman" w:cs="Times New Roman"/>
                <w:bCs/>
              </w:rPr>
            </w:pPr>
            <w:r w:rsidRPr="001A549E">
              <w:rPr>
                <w:rFonts w:ascii="Times New Roman" w:hAnsi="Times New Roman" w:cs="Times New Roman"/>
                <w:b/>
                <w:bCs/>
              </w:rPr>
              <w:t>P332 + P313</w:t>
            </w:r>
            <w:r w:rsidRPr="001A549E">
              <w:rPr>
                <w:rFonts w:ascii="Times New Roman" w:hAnsi="Times New Roman" w:cs="Times New Roman"/>
                <w:bCs/>
              </w:rPr>
              <w:t xml:space="preserve"> : En cas d’irritation cutanée : consulter un médecin </w:t>
            </w:r>
          </w:p>
        </w:tc>
      </w:tr>
    </w:tbl>
    <w:p w:rsidR="000D1370" w:rsidRPr="001A549E" w:rsidRDefault="000D1370" w:rsidP="000D137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3227"/>
        <w:gridCol w:w="4819"/>
      </w:tblGrid>
      <w:tr w:rsidR="000D1370" w:rsidRPr="001A549E" w:rsidTr="003070CF">
        <w:tc>
          <w:tcPr>
            <w:tcW w:w="2268" w:type="dxa"/>
            <w:vMerge w:val="restart"/>
          </w:tcPr>
          <w:p w:rsidR="000D1370" w:rsidRPr="001A549E" w:rsidRDefault="000D1370" w:rsidP="0065068B">
            <w:pPr>
              <w:rPr>
                <w:sz w:val="22"/>
                <w:szCs w:val="22"/>
              </w:rPr>
            </w:pPr>
            <w:r w:rsidRPr="001A549E">
              <w:rPr>
                <w:sz w:val="22"/>
                <w:szCs w:val="22"/>
              </w:rPr>
              <w:t>Propriétés physiques</w:t>
            </w:r>
          </w:p>
        </w:tc>
        <w:tc>
          <w:tcPr>
            <w:tcW w:w="3227" w:type="dxa"/>
            <w:vAlign w:val="center"/>
          </w:tcPr>
          <w:p w:rsidR="000D1370" w:rsidRPr="001A549E" w:rsidRDefault="000D1370" w:rsidP="00B52C5B">
            <w:pPr>
              <w:rPr>
                <w:sz w:val="22"/>
                <w:szCs w:val="22"/>
              </w:rPr>
            </w:pPr>
            <w:r w:rsidRPr="001A549E">
              <w:rPr>
                <w:sz w:val="22"/>
                <w:szCs w:val="22"/>
              </w:rPr>
              <w:t xml:space="preserve">Point </w:t>
            </w:r>
            <w:r w:rsidR="00B52C5B">
              <w:rPr>
                <w:sz w:val="22"/>
                <w:szCs w:val="22"/>
              </w:rPr>
              <w:t xml:space="preserve">éclair : </w:t>
            </w:r>
          </w:p>
        </w:tc>
        <w:tc>
          <w:tcPr>
            <w:tcW w:w="4819" w:type="dxa"/>
          </w:tcPr>
          <w:p w:rsidR="000D1370" w:rsidRPr="00B52C5B" w:rsidRDefault="00B52C5B" w:rsidP="00B52C5B">
            <w:pPr>
              <w:ind w:left="720"/>
              <w:rPr>
                <w:sz w:val="22"/>
                <w:szCs w:val="22"/>
              </w:rPr>
            </w:pPr>
            <w:r>
              <w:rPr>
                <w:sz w:val="22"/>
                <w:szCs w:val="22"/>
              </w:rPr>
              <w:t xml:space="preserve">                   &gt;</w:t>
            </w:r>
            <w:r w:rsidRPr="00B52C5B">
              <w:rPr>
                <w:sz w:val="22"/>
                <w:szCs w:val="22"/>
              </w:rPr>
              <w:t>75°C</w:t>
            </w:r>
          </w:p>
        </w:tc>
      </w:tr>
      <w:tr w:rsidR="000D1370" w:rsidRPr="001A549E" w:rsidTr="003070CF">
        <w:trPr>
          <w:trHeight w:val="70"/>
        </w:trPr>
        <w:tc>
          <w:tcPr>
            <w:tcW w:w="2268" w:type="dxa"/>
            <w:vMerge/>
          </w:tcPr>
          <w:p w:rsidR="000D1370" w:rsidRPr="001A549E" w:rsidRDefault="000D1370" w:rsidP="00913ECB">
            <w:pPr>
              <w:jc w:val="center"/>
              <w:rPr>
                <w:sz w:val="22"/>
                <w:szCs w:val="22"/>
              </w:rPr>
            </w:pPr>
          </w:p>
        </w:tc>
        <w:tc>
          <w:tcPr>
            <w:tcW w:w="3227" w:type="dxa"/>
            <w:vAlign w:val="center"/>
          </w:tcPr>
          <w:p w:rsidR="000D1370" w:rsidRPr="001A549E" w:rsidRDefault="00B52C5B" w:rsidP="0065068B">
            <w:pPr>
              <w:rPr>
                <w:sz w:val="22"/>
                <w:szCs w:val="22"/>
              </w:rPr>
            </w:pPr>
            <w:r>
              <w:rPr>
                <w:sz w:val="22"/>
                <w:szCs w:val="22"/>
              </w:rPr>
              <w:t>Indice de réfraction à 20 °C</w:t>
            </w:r>
          </w:p>
        </w:tc>
        <w:tc>
          <w:tcPr>
            <w:tcW w:w="4819" w:type="dxa"/>
          </w:tcPr>
          <w:p w:rsidR="000D1370" w:rsidRPr="001A549E" w:rsidRDefault="00B52C5B" w:rsidP="003070CF">
            <w:pPr>
              <w:jc w:val="center"/>
              <w:rPr>
                <w:sz w:val="22"/>
                <w:szCs w:val="22"/>
              </w:rPr>
            </w:pPr>
            <w:r>
              <w:rPr>
                <w:sz w:val="22"/>
                <w:szCs w:val="22"/>
              </w:rPr>
              <w:t>1,456 à 1,461</w:t>
            </w:r>
          </w:p>
        </w:tc>
      </w:tr>
      <w:tr w:rsidR="000D1370" w:rsidRPr="001A549E" w:rsidTr="003070CF">
        <w:trPr>
          <w:trHeight w:val="70"/>
        </w:trPr>
        <w:tc>
          <w:tcPr>
            <w:tcW w:w="2268" w:type="dxa"/>
            <w:vMerge/>
          </w:tcPr>
          <w:p w:rsidR="000D1370" w:rsidRPr="001A549E" w:rsidRDefault="000D1370" w:rsidP="00913ECB">
            <w:pPr>
              <w:jc w:val="center"/>
              <w:rPr>
                <w:sz w:val="22"/>
                <w:szCs w:val="22"/>
              </w:rPr>
            </w:pPr>
          </w:p>
        </w:tc>
        <w:tc>
          <w:tcPr>
            <w:tcW w:w="3227" w:type="dxa"/>
            <w:vAlign w:val="center"/>
          </w:tcPr>
          <w:p w:rsidR="000D1370" w:rsidRPr="001A549E" w:rsidRDefault="00B52C5B" w:rsidP="003070CF">
            <w:pPr>
              <w:rPr>
                <w:sz w:val="22"/>
                <w:szCs w:val="22"/>
              </w:rPr>
            </w:pPr>
            <w:r>
              <w:rPr>
                <w:sz w:val="22"/>
                <w:szCs w:val="22"/>
              </w:rPr>
              <w:t>Pouvoir rotatoire à 20°C</w:t>
            </w:r>
          </w:p>
        </w:tc>
        <w:tc>
          <w:tcPr>
            <w:tcW w:w="4819" w:type="dxa"/>
          </w:tcPr>
          <w:p w:rsidR="000D1370" w:rsidRPr="001A549E" w:rsidRDefault="00B52C5B" w:rsidP="00913ECB">
            <w:pPr>
              <w:jc w:val="center"/>
              <w:rPr>
                <w:sz w:val="22"/>
                <w:szCs w:val="22"/>
              </w:rPr>
            </w:pPr>
            <w:r>
              <w:rPr>
                <w:sz w:val="22"/>
                <w:szCs w:val="22"/>
              </w:rPr>
              <w:t>-9 à -6 °</w:t>
            </w:r>
          </w:p>
        </w:tc>
      </w:tr>
      <w:tr w:rsidR="000D1370" w:rsidRPr="001A549E" w:rsidTr="003070CF">
        <w:tc>
          <w:tcPr>
            <w:tcW w:w="2268" w:type="dxa"/>
            <w:vMerge/>
          </w:tcPr>
          <w:p w:rsidR="000D1370" w:rsidRPr="001A549E" w:rsidRDefault="000D1370" w:rsidP="00913ECB">
            <w:pPr>
              <w:jc w:val="center"/>
              <w:rPr>
                <w:sz w:val="22"/>
                <w:szCs w:val="22"/>
              </w:rPr>
            </w:pPr>
          </w:p>
        </w:tc>
        <w:tc>
          <w:tcPr>
            <w:tcW w:w="3227" w:type="dxa"/>
            <w:vAlign w:val="center"/>
          </w:tcPr>
          <w:p w:rsidR="000D1370" w:rsidRPr="001A549E" w:rsidRDefault="000D1370" w:rsidP="0065068B">
            <w:pPr>
              <w:rPr>
                <w:sz w:val="22"/>
                <w:szCs w:val="22"/>
              </w:rPr>
            </w:pPr>
            <w:r w:rsidRPr="001A549E">
              <w:rPr>
                <w:sz w:val="22"/>
                <w:szCs w:val="22"/>
              </w:rPr>
              <w:t xml:space="preserve">Densité : </w:t>
            </w:r>
            <w:r w:rsidRPr="001A549E">
              <w:rPr>
                <w:i/>
                <w:sz w:val="26"/>
                <w:szCs w:val="26"/>
              </w:rPr>
              <w:t>D</w:t>
            </w:r>
            <w:r w:rsidR="00A93297" w:rsidRPr="001A549E">
              <w:rPr>
                <w:i/>
                <w:sz w:val="26"/>
                <w:szCs w:val="26"/>
                <w:vertAlign w:val="superscript"/>
              </w:rPr>
              <w:t>20</w:t>
            </w:r>
            <w:r w:rsidR="00A93297" w:rsidRPr="001A549E">
              <w:rPr>
                <w:i/>
                <w:sz w:val="26"/>
                <w:szCs w:val="26"/>
                <w:vertAlign w:val="subscript"/>
              </w:rPr>
              <w:t>4</w:t>
            </w:r>
            <w:r w:rsidRPr="001A549E">
              <w:rPr>
                <w:sz w:val="16"/>
                <w:szCs w:val="16"/>
                <w:vertAlign w:val="subscript"/>
              </w:rPr>
              <w:t> </w:t>
            </w:r>
            <w:r w:rsidRPr="001A549E">
              <w:rPr>
                <w:sz w:val="16"/>
                <w:szCs w:val="16"/>
              </w:rPr>
              <w:t xml:space="preserve">: </w:t>
            </w:r>
          </w:p>
        </w:tc>
        <w:tc>
          <w:tcPr>
            <w:tcW w:w="4819" w:type="dxa"/>
            <w:vAlign w:val="center"/>
          </w:tcPr>
          <w:p w:rsidR="00A93297" w:rsidRPr="001A549E" w:rsidRDefault="00B52C5B" w:rsidP="008038DA">
            <w:pPr>
              <w:jc w:val="center"/>
              <w:rPr>
                <w:sz w:val="22"/>
                <w:szCs w:val="22"/>
              </w:rPr>
            </w:pPr>
            <w:r>
              <w:rPr>
                <w:sz w:val="22"/>
                <w:szCs w:val="22"/>
              </w:rPr>
              <w:t>0,886 à 0,896</w:t>
            </w:r>
          </w:p>
        </w:tc>
      </w:tr>
    </w:tbl>
    <w:p w:rsidR="000D1370" w:rsidRPr="001A549E" w:rsidRDefault="000D1370" w:rsidP="000D137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8046"/>
      </w:tblGrid>
      <w:tr w:rsidR="000D1370" w:rsidRPr="001C4CC2" w:rsidTr="00913ECB">
        <w:tc>
          <w:tcPr>
            <w:tcW w:w="2268" w:type="dxa"/>
            <w:vMerge w:val="restart"/>
          </w:tcPr>
          <w:p w:rsidR="000D1370" w:rsidRPr="001C4CC2" w:rsidRDefault="000D1370" w:rsidP="0065068B">
            <w:pPr>
              <w:rPr>
                <w:sz w:val="22"/>
                <w:szCs w:val="22"/>
              </w:rPr>
            </w:pPr>
            <w:r w:rsidRPr="001C4CC2">
              <w:rPr>
                <w:sz w:val="22"/>
                <w:szCs w:val="22"/>
              </w:rPr>
              <w:t xml:space="preserve">Premiers secours : </w:t>
            </w:r>
          </w:p>
        </w:tc>
        <w:tc>
          <w:tcPr>
            <w:tcW w:w="8046" w:type="dxa"/>
          </w:tcPr>
          <w:p w:rsidR="000D1370" w:rsidRPr="004F6ED0" w:rsidRDefault="000D1370" w:rsidP="0065068B">
            <w:pPr>
              <w:rPr>
                <w:sz w:val="20"/>
                <w:szCs w:val="20"/>
              </w:rPr>
            </w:pPr>
            <w:r w:rsidRPr="004F6ED0">
              <w:rPr>
                <w:sz w:val="20"/>
                <w:szCs w:val="20"/>
                <w:u w:val="single"/>
              </w:rPr>
              <w:t>Par contact cutané </w:t>
            </w:r>
            <w:r w:rsidR="00551D24" w:rsidRPr="004F6ED0">
              <w:rPr>
                <w:sz w:val="20"/>
                <w:szCs w:val="20"/>
              </w:rPr>
              <w:t xml:space="preserve">: </w:t>
            </w:r>
            <w:r w:rsidR="009819C9" w:rsidRPr="004F6ED0">
              <w:rPr>
                <w:sz w:val="20"/>
                <w:szCs w:val="20"/>
              </w:rPr>
              <w:t xml:space="preserve">Se laver à grande eau, </w:t>
            </w:r>
            <w:proofErr w:type="gramStart"/>
            <w:r w:rsidR="009819C9" w:rsidRPr="004F6ED0">
              <w:rPr>
                <w:sz w:val="20"/>
                <w:szCs w:val="20"/>
              </w:rPr>
              <w:t>changer</w:t>
            </w:r>
            <w:proofErr w:type="gramEnd"/>
            <w:r w:rsidR="009819C9" w:rsidRPr="004F6ED0">
              <w:rPr>
                <w:sz w:val="20"/>
                <w:szCs w:val="20"/>
              </w:rPr>
              <w:t xml:space="preserve"> de vêtements si nécessaire. Si une irritation persiste, ou si l'on aperçoit une lésion cutanée quelconque, consulter un médecin.</w:t>
            </w:r>
          </w:p>
        </w:tc>
      </w:tr>
      <w:tr w:rsidR="000D1370" w:rsidRPr="001C4CC2" w:rsidTr="00913ECB">
        <w:tc>
          <w:tcPr>
            <w:tcW w:w="2268" w:type="dxa"/>
            <w:vMerge/>
          </w:tcPr>
          <w:p w:rsidR="000D1370" w:rsidRPr="001C4CC2" w:rsidRDefault="000D1370" w:rsidP="00913ECB">
            <w:pPr>
              <w:jc w:val="center"/>
              <w:rPr>
                <w:sz w:val="22"/>
                <w:szCs w:val="22"/>
              </w:rPr>
            </w:pPr>
          </w:p>
        </w:tc>
        <w:tc>
          <w:tcPr>
            <w:tcW w:w="8046" w:type="dxa"/>
          </w:tcPr>
          <w:p w:rsidR="001C4CC2" w:rsidRPr="004F6ED0" w:rsidRDefault="00F3794A" w:rsidP="001C4CC2">
            <w:pPr>
              <w:pStyle w:val="Default"/>
              <w:rPr>
                <w:rFonts w:ascii="Times New Roman" w:hAnsi="Times New Roman" w:cs="Times New Roman"/>
                <w:sz w:val="20"/>
                <w:szCs w:val="20"/>
              </w:rPr>
            </w:pPr>
            <w:r w:rsidRPr="004F6ED0">
              <w:rPr>
                <w:rFonts w:ascii="Times New Roman" w:hAnsi="Times New Roman" w:cs="Times New Roman"/>
                <w:sz w:val="20"/>
                <w:szCs w:val="20"/>
                <w:u w:val="single"/>
              </w:rPr>
              <w:t>Par contact</w:t>
            </w:r>
            <w:r w:rsidR="000D1370" w:rsidRPr="004F6ED0">
              <w:rPr>
                <w:rFonts w:ascii="Times New Roman" w:hAnsi="Times New Roman" w:cs="Times New Roman"/>
                <w:sz w:val="20"/>
                <w:szCs w:val="20"/>
                <w:u w:val="single"/>
              </w:rPr>
              <w:t xml:space="preserve"> oculaire </w:t>
            </w:r>
            <w:r w:rsidR="000D1370" w:rsidRPr="004F6ED0">
              <w:rPr>
                <w:rFonts w:ascii="Times New Roman" w:hAnsi="Times New Roman" w:cs="Times New Roman"/>
                <w:sz w:val="20"/>
                <w:szCs w:val="20"/>
              </w:rPr>
              <w:t xml:space="preserve">: </w:t>
            </w:r>
            <w:r w:rsidR="001C4CC2" w:rsidRPr="004F6ED0">
              <w:rPr>
                <w:rFonts w:ascii="Times New Roman" w:hAnsi="Times New Roman" w:cs="Times New Roman"/>
                <w:sz w:val="20"/>
                <w:szCs w:val="20"/>
              </w:rPr>
              <w:t xml:space="preserve">Rincer immédiatement et abondamment (minimum 2 litres) en ouvrant les grandes paupières sous le robinet d'eau. Si possible, soulever la paupière supérieure et la rincer. Si une irritation persiste ou que l'on aperçoive une lésion quelconque, consulter votre ophtalmologiste avec le produit. </w:t>
            </w:r>
          </w:p>
          <w:p w:rsidR="000D1370" w:rsidRPr="004F6ED0" w:rsidRDefault="001C4CC2" w:rsidP="001C4CC2">
            <w:pPr>
              <w:rPr>
                <w:sz w:val="20"/>
                <w:szCs w:val="20"/>
                <w:u w:val="single"/>
              </w:rPr>
            </w:pPr>
            <w:r w:rsidRPr="004F6ED0">
              <w:rPr>
                <w:sz w:val="20"/>
                <w:szCs w:val="20"/>
              </w:rPr>
              <w:t>Dans tous les cas, ne pas remettre de lentille après l'accident sans avis de votre ophtalmologiste.</w:t>
            </w:r>
          </w:p>
        </w:tc>
      </w:tr>
      <w:tr w:rsidR="000D1370" w:rsidRPr="001C4CC2" w:rsidTr="00913ECB">
        <w:tc>
          <w:tcPr>
            <w:tcW w:w="2268" w:type="dxa"/>
            <w:vMerge/>
          </w:tcPr>
          <w:p w:rsidR="000D1370" w:rsidRPr="001C4CC2" w:rsidRDefault="000D1370" w:rsidP="00913ECB">
            <w:pPr>
              <w:jc w:val="center"/>
              <w:rPr>
                <w:sz w:val="22"/>
                <w:szCs w:val="22"/>
              </w:rPr>
            </w:pPr>
          </w:p>
        </w:tc>
        <w:tc>
          <w:tcPr>
            <w:tcW w:w="8046" w:type="dxa"/>
          </w:tcPr>
          <w:p w:rsidR="000D1370" w:rsidRPr="004F6ED0" w:rsidRDefault="000D1370" w:rsidP="0065068B">
            <w:pPr>
              <w:rPr>
                <w:sz w:val="20"/>
                <w:szCs w:val="20"/>
              </w:rPr>
            </w:pPr>
            <w:r w:rsidRPr="004F6ED0">
              <w:rPr>
                <w:sz w:val="20"/>
                <w:szCs w:val="20"/>
                <w:u w:val="single"/>
              </w:rPr>
              <w:t>Par inhalation </w:t>
            </w:r>
            <w:r w:rsidRPr="004F6ED0">
              <w:rPr>
                <w:sz w:val="20"/>
                <w:szCs w:val="20"/>
              </w:rPr>
              <w:t xml:space="preserve">: </w:t>
            </w:r>
            <w:r w:rsidR="004F6ED0" w:rsidRPr="004F6ED0">
              <w:rPr>
                <w:sz w:val="20"/>
                <w:szCs w:val="20"/>
              </w:rPr>
              <w:t>Transporter la personne incommodée à l'air frais. Garder la personne au chaud et au repos. Appeler un médecin en cas de persistance ou d'aggravation des effets néfastes pour la santé. En cas d'évanouissement, placer la personne en position latérale de sécurité et appeler un médecin immédiatement. S'assurer d'une bonne circulation d'air.</w:t>
            </w:r>
          </w:p>
        </w:tc>
      </w:tr>
      <w:tr w:rsidR="000D1370" w:rsidRPr="001C4CC2" w:rsidTr="00913ECB">
        <w:tc>
          <w:tcPr>
            <w:tcW w:w="2268" w:type="dxa"/>
            <w:vMerge/>
          </w:tcPr>
          <w:p w:rsidR="000D1370" w:rsidRPr="001C4CC2" w:rsidRDefault="000D1370" w:rsidP="00913ECB">
            <w:pPr>
              <w:jc w:val="center"/>
              <w:rPr>
                <w:sz w:val="22"/>
                <w:szCs w:val="22"/>
              </w:rPr>
            </w:pPr>
          </w:p>
        </w:tc>
        <w:tc>
          <w:tcPr>
            <w:tcW w:w="8046" w:type="dxa"/>
          </w:tcPr>
          <w:p w:rsidR="000D1370" w:rsidRPr="004F6ED0" w:rsidRDefault="000D1370" w:rsidP="001C4CC2">
            <w:pPr>
              <w:rPr>
                <w:sz w:val="20"/>
                <w:szCs w:val="20"/>
              </w:rPr>
            </w:pPr>
            <w:r w:rsidRPr="004F6ED0">
              <w:rPr>
                <w:sz w:val="20"/>
                <w:szCs w:val="20"/>
                <w:u w:val="single"/>
              </w:rPr>
              <w:t>Par ingestion</w:t>
            </w:r>
            <w:r w:rsidRPr="004F6ED0">
              <w:rPr>
                <w:sz w:val="20"/>
                <w:szCs w:val="20"/>
              </w:rPr>
              <w:t xml:space="preserve"> : </w:t>
            </w:r>
            <w:r w:rsidR="001C4CC2" w:rsidRPr="004F6ED0">
              <w:rPr>
                <w:sz w:val="20"/>
                <w:szCs w:val="20"/>
              </w:rPr>
              <w:t xml:space="preserve">Rincer la bouche avec de l'eau. Transporter la personne incommodée à l'air frais. Garder la personne au chaud et au repos. Ne pas faire vomir. Appeler un médecin en cas de persistance ou d'aggravation des effets néfastes pour la santé. </w:t>
            </w:r>
          </w:p>
        </w:tc>
      </w:tr>
    </w:tbl>
    <w:p w:rsidR="000D1370" w:rsidRPr="001C4CC2" w:rsidRDefault="000D1370" w:rsidP="000D1370">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8046"/>
      </w:tblGrid>
      <w:tr w:rsidR="000D1370" w:rsidRPr="001C4CC2" w:rsidTr="00913ECB">
        <w:tc>
          <w:tcPr>
            <w:tcW w:w="2268" w:type="dxa"/>
          </w:tcPr>
          <w:p w:rsidR="000D1370" w:rsidRPr="001C4CC2" w:rsidRDefault="000D1370" w:rsidP="0065068B">
            <w:pPr>
              <w:rPr>
                <w:sz w:val="22"/>
                <w:szCs w:val="22"/>
              </w:rPr>
            </w:pPr>
            <w:r w:rsidRPr="001C4CC2">
              <w:rPr>
                <w:sz w:val="22"/>
                <w:szCs w:val="22"/>
              </w:rPr>
              <w:t xml:space="preserve">Mesures environnementales : </w:t>
            </w:r>
          </w:p>
        </w:tc>
        <w:tc>
          <w:tcPr>
            <w:tcW w:w="8046" w:type="dxa"/>
          </w:tcPr>
          <w:p w:rsidR="000D1370" w:rsidRPr="00F72ADE" w:rsidRDefault="000D1370" w:rsidP="0065068B">
            <w:pPr>
              <w:rPr>
                <w:sz w:val="20"/>
                <w:szCs w:val="20"/>
              </w:rPr>
            </w:pPr>
            <w:r w:rsidRPr="00F72ADE">
              <w:rPr>
                <w:sz w:val="20"/>
                <w:szCs w:val="20"/>
                <w:u w:val="single"/>
              </w:rPr>
              <w:t>Elimination des effluents</w:t>
            </w:r>
            <w:r w:rsidRPr="00F72ADE">
              <w:rPr>
                <w:sz w:val="20"/>
                <w:szCs w:val="20"/>
              </w:rPr>
              <w:t xml:space="preserve"> : </w:t>
            </w:r>
          </w:p>
          <w:p w:rsidR="00F72ADE" w:rsidRPr="00F72ADE" w:rsidRDefault="00F72ADE" w:rsidP="00F72ADE">
            <w:pPr>
              <w:pStyle w:val="Default"/>
              <w:rPr>
                <w:rFonts w:ascii="Times New Roman" w:hAnsi="Times New Roman" w:cs="Times New Roman"/>
                <w:sz w:val="20"/>
                <w:szCs w:val="20"/>
              </w:rPr>
            </w:pPr>
            <w:r w:rsidRPr="00F72ADE">
              <w:rPr>
                <w:rFonts w:ascii="Times New Roman" w:hAnsi="Times New Roman" w:cs="Times New Roman"/>
                <w:sz w:val="20"/>
                <w:szCs w:val="20"/>
              </w:rPr>
              <w:t xml:space="preserve">Ne pas déverser dans les égouts ni les cours d'eau. Recycler ou éliminer conformément aux législations en vigueur, de préférence par un collecteur ou une entreprise agréée. Ne pas contaminer le sol ou l'eau avec les déchets, ne pas procéder à leur élimination dans l'environnement. </w:t>
            </w:r>
          </w:p>
          <w:p w:rsidR="000D1370" w:rsidRPr="00F72ADE" w:rsidRDefault="000D1370" w:rsidP="00F72ADE">
            <w:pPr>
              <w:rPr>
                <w:sz w:val="20"/>
                <w:szCs w:val="20"/>
              </w:rPr>
            </w:pPr>
            <w:r w:rsidRPr="00F72ADE">
              <w:rPr>
                <w:sz w:val="20"/>
                <w:szCs w:val="20"/>
                <w:u w:val="single"/>
              </w:rPr>
              <w:t>Récupération en cas de déversement accidentel</w:t>
            </w:r>
            <w:r w:rsidRPr="00F72ADE">
              <w:rPr>
                <w:sz w:val="20"/>
                <w:szCs w:val="20"/>
              </w:rPr>
              <w:t> :</w:t>
            </w:r>
          </w:p>
          <w:p w:rsidR="00F72ADE" w:rsidRPr="00F72ADE" w:rsidRDefault="00F72ADE" w:rsidP="00F72ADE">
            <w:pPr>
              <w:pStyle w:val="Default"/>
              <w:rPr>
                <w:rFonts w:ascii="Times New Roman" w:hAnsi="Times New Roman" w:cs="Times New Roman"/>
                <w:sz w:val="20"/>
                <w:szCs w:val="20"/>
              </w:rPr>
            </w:pPr>
            <w:r w:rsidRPr="00F72ADE">
              <w:rPr>
                <w:rFonts w:ascii="Times New Roman" w:hAnsi="Times New Roman" w:cs="Times New Roman"/>
                <w:sz w:val="20"/>
                <w:szCs w:val="20"/>
              </w:rPr>
              <w:t xml:space="preserve">Les gros débordements doivent être nettoyés à l'aide de matières absorbantes inertes qui seront ensuite balayées et détruites selon la réglementation en vigueur. </w:t>
            </w:r>
          </w:p>
          <w:p w:rsidR="000D1370" w:rsidRPr="00F72ADE" w:rsidRDefault="000D1370" w:rsidP="00F72ADE">
            <w:pPr>
              <w:pStyle w:val="Default"/>
              <w:rPr>
                <w:sz w:val="16"/>
                <w:szCs w:val="16"/>
              </w:rPr>
            </w:pPr>
            <w:r w:rsidRPr="00F72ADE">
              <w:rPr>
                <w:rFonts w:ascii="Times New Roman" w:hAnsi="Times New Roman" w:cs="Times New Roman"/>
                <w:sz w:val="20"/>
                <w:szCs w:val="20"/>
                <w:u w:val="single"/>
              </w:rPr>
              <w:t>Stockage</w:t>
            </w:r>
            <w:r w:rsidRPr="00F72ADE">
              <w:rPr>
                <w:rFonts w:ascii="Times New Roman" w:hAnsi="Times New Roman" w:cs="Times New Roman"/>
                <w:sz w:val="20"/>
                <w:szCs w:val="20"/>
              </w:rPr>
              <w:t xml:space="preserve"> : </w:t>
            </w:r>
            <w:r w:rsidR="00F72ADE" w:rsidRPr="00F72ADE">
              <w:rPr>
                <w:rFonts w:ascii="Times New Roman" w:hAnsi="Times New Roman" w:cs="Times New Roman"/>
                <w:sz w:val="20"/>
                <w:szCs w:val="20"/>
              </w:rPr>
              <w:t>Stocker dans des récipients en inox ou verre ambré de préférence. Stocker à l'abri de la chaleur, de la lumière et dans des récipients fermés. Eviter le PVC.</w:t>
            </w:r>
          </w:p>
        </w:tc>
      </w:tr>
    </w:tbl>
    <w:p w:rsidR="00E95246" w:rsidRPr="001A549E" w:rsidRDefault="00E95246" w:rsidP="000D1370"/>
    <w:sectPr w:rsidR="00E95246" w:rsidRPr="001A549E" w:rsidSect="006506F8">
      <w:headerReference w:type="default" r:id="rId13"/>
      <w:pgSz w:w="11906" w:h="16838"/>
      <w:pgMar w:top="720" w:right="720" w:bottom="720" w:left="720" w:header="36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ECB" w:rsidRDefault="00913ECB">
      <w:r>
        <w:separator/>
      </w:r>
    </w:p>
  </w:endnote>
  <w:endnote w:type="continuationSeparator" w:id="0">
    <w:p w:rsidR="00913ECB" w:rsidRDefault="00913EC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ECB" w:rsidRDefault="00913ECB">
      <w:r>
        <w:separator/>
      </w:r>
    </w:p>
  </w:footnote>
  <w:footnote w:type="continuationSeparator" w:id="0">
    <w:p w:rsidR="00913ECB" w:rsidRDefault="00913E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F8" w:rsidRPr="006506F8" w:rsidRDefault="006506F8" w:rsidP="006506F8">
    <w:pPr>
      <w:pStyle w:val="Titre1"/>
      <w:jc w:val="both"/>
      <w:rPr>
        <w:b/>
        <w:bCs/>
        <w:i/>
        <w:iCs/>
        <w:sz w:val="24"/>
        <w:szCs w:val="28"/>
        <w:u w:val="single"/>
      </w:rPr>
    </w:pPr>
    <w:r>
      <w:rPr>
        <w:b/>
        <w:bCs/>
        <w:i/>
        <w:iCs/>
        <w:sz w:val="24"/>
        <w:szCs w:val="28"/>
        <w:u w:val="single"/>
      </w:rPr>
      <w:t xml:space="preserve">Lycée N.L. VAUQUELIN  </w:t>
    </w:r>
    <w:r>
      <w:rPr>
        <w:b/>
        <w:bCs/>
        <w:i/>
        <w:iCs/>
        <w:sz w:val="24"/>
        <w:szCs w:val="28"/>
        <w:u w:val="single"/>
      </w:rPr>
      <w:tab/>
    </w:r>
    <w:r>
      <w:rPr>
        <w:b/>
        <w:bCs/>
        <w:i/>
        <w:iCs/>
        <w:sz w:val="24"/>
        <w:szCs w:val="28"/>
        <w:u w:val="single"/>
      </w:rPr>
      <w:tab/>
    </w:r>
    <w:r>
      <w:rPr>
        <w:b/>
        <w:bCs/>
        <w:i/>
        <w:iCs/>
        <w:sz w:val="24"/>
        <w:szCs w:val="28"/>
        <w:u w:val="single"/>
      </w:rPr>
      <w:tab/>
    </w:r>
    <w:r>
      <w:rPr>
        <w:b/>
        <w:bCs/>
        <w:i/>
        <w:iCs/>
        <w:sz w:val="24"/>
        <w:szCs w:val="28"/>
        <w:u w:val="single"/>
      </w:rPr>
      <w:tab/>
      <w:t xml:space="preserve">    </w:t>
    </w:r>
    <w:r>
      <w:rPr>
        <w:b/>
        <w:bCs/>
        <w:i/>
        <w:iCs/>
        <w:sz w:val="24"/>
        <w:szCs w:val="28"/>
        <w:u w:val="single"/>
      </w:rPr>
      <w:tab/>
    </w:r>
    <w:r>
      <w:rPr>
        <w:b/>
        <w:bCs/>
        <w:i/>
        <w:iCs/>
        <w:sz w:val="24"/>
        <w:szCs w:val="28"/>
        <w:u w:val="single"/>
      </w:rPr>
      <w:tab/>
      <w:t xml:space="preserve"> </w:t>
    </w:r>
    <w:r>
      <w:rPr>
        <w:b/>
        <w:bCs/>
        <w:i/>
        <w:iCs/>
        <w:sz w:val="24"/>
        <w:szCs w:val="28"/>
        <w:u w:val="single"/>
      </w:rPr>
      <w:tab/>
      <w:t xml:space="preserve">                 Révisée le  20-06-2014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72A3E"/>
    <w:multiLevelType w:val="hybridMultilevel"/>
    <w:tmpl w:val="4926840C"/>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DC50D4"/>
    <w:multiLevelType w:val="hybridMultilevel"/>
    <w:tmpl w:val="5D6A256A"/>
    <w:lvl w:ilvl="0" w:tplc="768A11BA">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B35152A"/>
    <w:multiLevelType w:val="hybridMultilevel"/>
    <w:tmpl w:val="D56AC3DE"/>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E58FA"/>
    <w:rsid w:val="00093CEC"/>
    <w:rsid w:val="000D1370"/>
    <w:rsid w:val="001A549E"/>
    <w:rsid w:val="001C4CC2"/>
    <w:rsid w:val="00236CB8"/>
    <w:rsid w:val="003070CF"/>
    <w:rsid w:val="0034192C"/>
    <w:rsid w:val="00490C02"/>
    <w:rsid w:val="004F6ED0"/>
    <w:rsid w:val="00551D24"/>
    <w:rsid w:val="006277CE"/>
    <w:rsid w:val="0065068B"/>
    <w:rsid w:val="006506F8"/>
    <w:rsid w:val="007132D3"/>
    <w:rsid w:val="007670D8"/>
    <w:rsid w:val="008038DA"/>
    <w:rsid w:val="00876551"/>
    <w:rsid w:val="00913ECB"/>
    <w:rsid w:val="009819C9"/>
    <w:rsid w:val="009C108A"/>
    <w:rsid w:val="009E5064"/>
    <w:rsid w:val="00A45E6A"/>
    <w:rsid w:val="00A93297"/>
    <w:rsid w:val="00AC3392"/>
    <w:rsid w:val="00AE6B6F"/>
    <w:rsid w:val="00B07168"/>
    <w:rsid w:val="00B13E4A"/>
    <w:rsid w:val="00B14D07"/>
    <w:rsid w:val="00B52C5B"/>
    <w:rsid w:val="00CE42CE"/>
    <w:rsid w:val="00DB35B5"/>
    <w:rsid w:val="00E76F53"/>
    <w:rsid w:val="00E855E7"/>
    <w:rsid w:val="00E95246"/>
    <w:rsid w:val="00EA201D"/>
    <w:rsid w:val="00F3794A"/>
    <w:rsid w:val="00F72ADE"/>
    <w:rsid w:val="00FA5455"/>
    <w:rsid w:val="00FE31F4"/>
    <w:rsid w:val="00FE3358"/>
    <w:rsid w:val="00FE58F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92C"/>
    <w:rPr>
      <w:sz w:val="24"/>
      <w:szCs w:val="24"/>
    </w:rPr>
  </w:style>
  <w:style w:type="paragraph" w:styleId="Titre1">
    <w:name w:val="heading 1"/>
    <w:basedOn w:val="Normal"/>
    <w:next w:val="Normal"/>
    <w:qFormat/>
    <w:rsid w:val="00DB35B5"/>
    <w:pPr>
      <w:keepNext/>
      <w:outlineLvl w:val="0"/>
    </w:pPr>
    <w:rPr>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E58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FA5455"/>
    <w:pPr>
      <w:tabs>
        <w:tab w:val="center" w:pos="4536"/>
        <w:tab w:val="right" w:pos="9072"/>
      </w:tabs>
    </w:pPr>
  </w:style>
  <w:style w:type="paragraph" w:styleId="Pieddepage">
    <w:name w:val="footer"/>
    <w:basedOn w:val="Normal"/>
    <w:rsid w:val="00FA5455"/>
    <w:pPr>
      <w:tabs>
        <w:tab w:val="center" w:pos="4536"/>
        <w:tab w:val="right" w:pos="9072"/>
      </w:tabs>
    </w:pPr>
  </w:style>
  <w:style w:type="paragraph" w:styleId="Textedebulles">
    <w:name w:val="Balloon Text"/>
    <w:basedOn w:val="Normal"/>
    <w:link w:val="TextedebullesCar"/>
    <w:rsid w:val="006277CE"/>
    <w:rPr>
      <w:rFonts w:ascii="Tahoma" w:hAnsi="Tahoma" w:cs="Tahoma"/>
      <w:sz w:val="16"/>
      <w:szCs w:val="16"/>
    </w:rPr>
  </w:style>
  <w:style w:type="character" w:customStyle="1" w:styleId="TextedebullesCar">
    <w:name w:val="Texte de bulles Car"/>
    <w:basedOn w:val="Policepardfaut"/>
    <w:link w:val="Textedebulles"/>
    <w:rsid w:val="006277CE"/>
    <w:rPr>
      <w:rFonts w:ascii="Tahoma" w:hAnsi="Tahoma" w:cs="Tahoma"/>
      <w:sz w:val="16"/>
      <w:szCs w:val="16"/>
    </w:rPr>
  </w:style>
  <w:style w:type="paragraph" w:customStyle="1" w:styleId="Default">
    <w:name w:val="Default"/>
    <w:rsid w:val="00AE6B6F"/>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52C5B"/>
    <w:pPr>
      <w:ind w:left="720"/>
      <w:contextualSpacing/>
    </w:pPr>
  </w:style>
</w:styles>
</file>

<file path=word/webSettings.xml><?xml version="1.0" encoding="utf-8"?>
<w:webSettings xmlns:r="http://schemas.openxmlformats.org/officeDocument/2006/relationships" xmlns:w="http://schemas.openxmlformats.org/wordprocessingml/2006/main">
  <w:divs>
    <w:div w:id="16580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DD988-64A2-45F6-AAFA-AF54C88B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2561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Lycée Nicolas Louis</vt:lpstr>
    </vt:vector>
  </TitlesOfParts>
  <Company>EDUCATION NATIONALE</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Lycée Nicolas Louis</dc:title>
  <dc:creator>NL VAUQUELIN</dc:creator>
  <cp:lastModifiedBy>Ménière Nicolas</cp:lastModifiedBy>
  <cp:revision>2</cp:revision>
  <cp:lastPrinted>2006-06-22T12:49:00Z</cp:lastPrinted>
  <dcterms:created xsi:type="dcterms:W3CDTF">2014-07-03T15:01:00Z</dcterms:created>
  <dcterms:modified xsi:type="dcterms:W3CDTF">2014-07-03T15:01:00Z</dcterms:modified>
</cp:coreProperties>
</file>