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F4" w:rsidRPr="00D25D5A" w:rsidRDefault="00A12858">
      <w:pPr>
        <w:rPr>
          <w:color w:val="548DD4" w:themeColor="text2" w:themeTint="99"/>
          <w:sz w:val="144"/>
          <w:szCs w:val="144"/>
        </w:rPr>
      </w:pPr>
      <w:bookmarkStart w:id="0" w:name="_GoBack"/>
      <w:bookmarkEnd w:id="0"/>
      <w:r w:rsidRPr="00D25D5A">
        <w:rPr>
          <w:color w:val="548DD4" w:themeColor="text2" w:themeTint="99"/>
          <w:sz w:val="144"/>
          <w:szCs w:val="144"/>
        </w:rPr>
        <w:t>Prévention</w:t>
      </w:r>
    </w:p>
    <w:p w:rsidR="00A12858" w:rsidRPr="00D25D5A" w:rsidRDefault="00A12858">
      <w:pPr>
        <w:rPr>
          <w:color w:val="548DD4" w:themeColor="text2" w:themeTint="99"/>
          <w:sz w:val="144"/>
          <w:szCs w:val="144"/>
        </w:rPr>
      </w:pPr>
      <w:r w:rsidRPr="00D25D5A">
        <w:rPr>
          <w:color w:val="548DD4" w:themeColor="text2" w:themeTint="99"/>
          <w:sz w:val="144"/>
          <w:szCs w:val="144"/>
        </w:rPr>
        <w:t xml:space="preserve">Risques </w:t>
      </w:r>
    </w:p>
    <w:p w:rsidR="00A12858" w:rsidRPr="00D25D5A" w:rsidRDefault="00A826FC">
      <w:pPr>
        <w:rPr>
          <w:color w:val="548DD4" w:themeColor="text2" w:themeTint="99"/>
          <w:sz w:val="144"/>
          <w:szCs w:val="144"/>
        </w:rPr>
      </w:pPr>
      <w:r w:rsidRPr="00D25D5A">
        <w:rPr>
          <w:color w:val="548DD4" w:themeColor="text2" w:themeTint="99"/>
          <w:sz w:val="144"/>
          <w:szCs w:val="144"/>
        </w:rPr>
        <w:t>Professionnels</w:t>
      </w:r>
    </w:p>
    <w:p w:rsidR="00A12858" w:rsidRDefault="00A12858" w:rsidP="00D25D5A">
      <w:pPr>
        <w:jc w:val="center"/>
      </w:pPr>
      <w:r>
        <w:rPr>
          <w:noProof/>
          <w:lang w:eastAsia="fr-FR"/>
        </w:rPr>
        <w:drawing>
          <wp:inline distT="0" distB="0" distL="0" distR="0">
            <wp:extent cx="4029075" cy="4119820"/>
            <wp:effectExtent l="38100" t="0" r="28575" b="336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que étrier.jpg"/>
                    <pic:cNvPicPr/>
                  </pic:nvPicPr>
                  <pic:blipFill>
                    <a:blip r:embed="rId7">
                      <a:extLst>
                        <a:ext uri="{BEBA8EAE-BF5A-486C-A8C5-ECC9F3942E4B}">
                          <a14:imgProps xmlns:a14="http://schemas.microsoft.com/office/drawing/2010/main">
                            <a14:imgLayer r:embed="rId8">
                              <a14:imgEffect>
                                <a14:sharpenSoften amount="6000"/>
                              </a14:imgEffect>
                            </a14:imgLayer>
                          </a14:imgProps>
                        </a:ext>
                        <a:ext uri="{28A0092B-C50C-407E-A947-70E740481C1C}">
                          <a14:useLocalDpi xmlns:a14="http://schemas.microsoft.com/office/drawing/2010/main" val="0"/>
                        </a:ext>
                      </a:extLst>
                    </a:blip>
                    <a:stretch>
                      <a:fillRect/>
                    </a:stretch>
                  </pic:blipFill>
                  <pic:spPr>
                    <a:xfrm>
                      <a:off x="0" y="0"/>
                      <a:ext cx="4032720" cy="4123547"/>
                    </a:xfrm>
                    <a:prstGeom prst="rect">
                      <a:avLst/>
                    </a:prstGeom>
                    <a:blipFill dpi="0" rotWithShape="1">
                      <a:blip r:embed="rId9"/>
                      <a:srcRect/>
                      <a:tile tx="0" ty="0" sx="100000" sy="100000" flip="none" algn="tl"/>
                    </a:blipFill>
                    <a:ln>
                      <a:noFill/>
                    </a:ln>
                    <a:effectLst>
                      <a:glow>
                        <a:schemeClr val="accent1"/>
                      </a:glow>
                      <a:outerShdw blurRad="50800" dist="50800" dir="5400000" algn="ctr" rotWithShape="0">
                        <a:srgbClr val="000000">
                          <a:alpha val="0"/>
                        </a:srgbClr>
                      </a:outerShdw>
                      <a:reflection stA="0" endPos="65000" dist="50800" dir="5400000" sy="-100000" algn="bl" rotWithShape="0"/>
                    </a:effectLst>
                  </pic:spPr>
                </pic:pic>
              </a:graphicData>
            </a:graphic>
          </wp:inline>
        </w:drawing>
      </w:r>
    </w:p>
    <w:p w:rsidR="00A12858" w:rsidRPr="00D25D5A" w:rsidRDefault="00A12858">
      <w:pPr>
        <w:rPr>
          <w:color w:val="548DD4" w:themeColor="text2" w:themeTint="99"/>
          <w:sz w:val="44"/>
          <w:szCs w:val="44"/>
        </w:rPr>
      </w:pPr>
      <w:r w:rsidRPr="00D25D5A">
        <w:rPr>
          <w:color w:val="548DD4" w:themeColor="text2" w:themeTint="99"/>
          <w:sz w:val="44"/>
          <w:szCs w:val="44"/>
        </w:rPr>
        <w:t>Séquence : Intervention</w:t>
      </w:r>
      <w:r w:rsidR="00A826FC" w:rsidRPr="00D25D5A">
        <w:rPr>
          <w:color w:val="548DD4" w:themeColor="text2" w:themeTint="99"/>
          <w:sz w:val="44"/>
          <w:szCs w:val="44"/>
        </w:rPr>
        <w:t xml:space="preserve"> sur</w:t>
      </w:r>
      <w:r w:rsidRPr="00D25D5A">
        <w:rPr>
          <w:color w:val="548DD4" w:themeColor="text2" w:themeTint="99"/>
          <w:sz w:val="44"/>
          <w:szCs w:val="44"/>
        </w:rPr>
        <w:t xml:space="preserve"> système de freinage</w:t>
      </w:r>
    </w:p>
    <w:p w:rsidR="00D83ED2" w:rsidRDefault="00D83ED2" w:rsidP="00D83ED2">
      <w:pPr>
        <w:rPr>
          <w:b/>
          <w:bCs/>
          <w:sz w:val="28"/>
          <w:szCs w:val="28"/>
        </w:rPr>
      </w:pPr>
    </w:p>
    <w:p w:rsidR="00D83ED2" w:rsidRDefault="00D83ED2" w:rsidP="00D83ED2">
      <w:pPr>
        <w:rPr>
          <w:b/>
          <w:bCs/>
          <w:sz w:val="28"/>
          <w:szCs w:val="28"/>
        </w:rPr>
      </w:pPr>
      <w:r w:rsidRPr="00A826FC">
        <w:rPr>
          <w:b/>
          <w:bCs/>
          <w:sz w:val="28"/>
          <w:szCs w:val="28"/>
        </w:rPr>
        <w:t>L’amiante ou les fibres céramiques réfractaires</w:t>
      </w:r>
    </w:p>
    <w:p w:rsidR="00D83ED2" w:rsidRPr="00A826FC" w:rsidRDefault="00D83ED2" w:rsidP="00D83ED2">
      <w:pPr>
        <w:rPr>
          <w:sz w:val="28"/>
          <w:szCs w:val="28"/>
        </w:rPr>
      </w:pPr>
    </w:p>
    <w:p w:rsidR="00D83ED2" w:rsidRDefault="00D83ED2" w:rsidP="00D83ED2">
      <w:pPr>
        <w:rPr>
          <w:sz w:val="28"/>
          <w:szCs w:val="28"/>
        </w:rPr>
      </w:pPr>
      <w:r w:rsidRPr="00A826FC">
        <w:rPr>
          <w:sz w:val="28"/>
          <w:szCs w:val="28"/>
        </w:rPr>
        <w:t>L’amiante est interdit depuis 1997 mais le risque est toujours présent lors des interventions sur des véhicules anciens. Dans les garnitures de frein, l’amiante a d’abord été remplacé par des fibres céramiques réfractaires (FCR) qui sont classées comme cancérogènes avérés par l’Union Européenne. La valeur limite d’exposition à respecter est fixée à 0,1 fibre par cm3 en moyenne sur 8 heures. Au-dessus de cette limite, qui est infime sur une durée de 8 heures, les FCR altèrent la santé. Des produits de substitution contenant diverses autres fibres sont désormais posés en première monte, mais on trouve encore des FCR dans des produits de 2e monte.</w:t>
      </w:r>
    </w:p>
    <w:p w:rsidR="00D83ED2" w:rsidRDefault="00D83ED2" w:rsidP="00D83ED2">
      <w:pPr>
        <w:rPr>
          <w:sz w:val="28"/>
          <w:szCs w:val="28"/>
        </w:rPr>
      </w:pPr>
    </w:p>
    <w:p w:rsidR="00D83ED2" w:rsidRPr="00A826FC" w:rsidRDefault="00D83ED2" w:rsidP="00D83ED2">
      <w:pPr>
        <w:rPr>
          <w:sz w:val="28"/>
          <w:szCs w:val="28"/>
        </w:rPr>
      </w:pPr>
    </w:p>
    <w:p w:rsidR="00D83ED2" w:rsidRPr="00A826FC" w:rsidRDefault="00D83ED2" w:rsidP="00D83ED2">
      <w:pPr>
        <w:rPr>
          <w:sz w:val="28"/>
          <w:szCs w:val="28"/>
        </w:rPr>
      </w:pPr>
      <w:r w:rsidRPr="00A826FC">
        <w:rPr>
          <w:sz w:val="28"/>
          <w:szCs w:val="28"/>
        </w:rPr>
        <w:t>L’appareil respiratoire constitue la principale porte d’entrée des fibres dans l’organisme. Les fibres fines et longues sont les plus dangereuses : inférieures à 3,5 microns, elles peuvent être inhalées et pénétrer profondément dans le poumon, y persister un certain temps, voire migrer vers d’autres organes.</w:t>
      </w:r>
    </w:p>
    <w:p w:rsidR="00D83ED2" w:rsidRDefault="00D83ED2" w:rsidP="00D83ED2">
      <w:pPr>
        <w:rPr>
          <w:sz w:val="28"/>
          <w:szCs w:val="28"/>
        </w:rPr>
      </w:pPr>
      <w:r w:rsidRPr="00A826FC">
        <w:rPr>
          <w:sz w:val="28"/>
          <w:szCs w:val="28"/>
        </w:rPr>
        <w:t>Des expositions répétées à certaines fibres sont à l’origine de plaques pleurales, de fibroses pulmonaires, d’insuffisance respiratoire, voire à long terme de cancers, principalement au niveau du poumon et de la plèvre. La présence de fibres dans les cellules peut perturber les divisions cellulaires et entraîner des mutations de gènes.</w:t>
      </w:r>
    </w:p>
    <w:p w:rsidR="00D83ED2" w:rsidRDefault="00D83ED2" w:rsidP="00D83ED2">
      <w:pPr>
        <w:rPr>
          <w:sz w:val="28"/>
          <w:szCs w:val="28"/>
        </w:rPr>
      </w:pPr>
    </w:p>
    <w:p w:rsidR="00D83ED2" w:rsidRDefault="00D83ED2" w:rsidP="00D83ED2">
      <w:pPr>
        <w:rPr>
          <w:sz w:val="28"/>
          <w:szCs w:val="28"/>
        </w:rPr>
      </w:pPr>
    </w:p>
    <w:p w:rsidR="00D83ED2" w:rsidRDefault="00D83ED2" w:rsidP="00D83ED2">
      <w:pPr>
        <w:rPr>
          <w:sz w:val="28"/>
          <w:szCs w:val="28"/>
        </w:rPr>
      </w:pPr>
    </w:p>
    <w:p w:rsidR="00D83ED2" w:rsidRDefault="00D83ED2" w:rsidP="00D83ED2">
      <w:pPr>
        <w:rPr>
          <w:sz w:val="28"/>
          <w:szCs w:val="28"/>
        </w:rPr>
      </w:pPr>
    </w:p>
    <w:p w:rsidR="00D83ED2" w:rsidRDefault="00D83ED2" w:rsidP="00D83ED2">
      <w:pPr>
        <w:rPr>
          <w:sz w:val="28"/>
          <w:szCs w:val="28"/>
        </w:rPr>
      </w:pPr>
    </w:p>
    <w:p w:rsidR="00D83ED2" w:rsidRDefault="00D83ED2" w:rsidP="00D83ED2">
      <w:pPr>
        <w:rPr>
          <w:sz w:val="28"/>
          <w:szCs w:val="28"/>
        </w:rPr>
      </w:pPr>
    </w:p>
    <w:tbl>
      <w:tblPr>
        <w:tblStyle w:val="Grilledutableau"/>
        <w:tblW w:w="0" w:type="auto"/>
        <w:tblLook w:val="04A0" w:firstRow="1" w:lastRow="0" w:firstColumn="1" w:lastColumn="0" w:noHBand="0" w:noVBand="1"/>
      </w:tblPr>
      <w:tblGrid>
        <w:gridCol w:w="2303"/>
        <w:gridCol w:w="2303"/>
        <w:gridCol w:w="2303"/>
        <w:gridCol w:w="2303"/>
      </w:tblGrid>
      <w:tr w:rsidR="00D83ED2" w:rsidTr="004C2709">
        <w:tc>
          <w:tcPr>
            <w:tcW w:w="2303" w:type="dxa"/>
          </w:tcPr>
          <w:p w:rsidR="00D83ED2" w:rsidRPr="00D83ED2" w:rsidRDefault="00D83ED2" w:rsidP="00D83ED2">
            <w:pPr>
              <w:jc w:val="center"/>
              <w:rPr>
                <w:b/>
                <w:color w:val="548DD4" w:themeColor="text2" w:themeTint="99"/>
              </w:rPr>
            </w:pPr>
            <w:r w:rsidRPr="00D83ED2">
              <w:rPr>
                <w:b/>
                <w:color w:val="548DD4" w:themeColor="text2" w:themeTint="99"/>
              </w:rPr>
              <w:lastRenderedPageBreak/>
              <w:t>Dangers ou facteurs de risques identifiés</w:t>
            </w:r>
          </w:p>
        </w:tc>
        <w:tc>
          <w:tcPr>
            <w:tcW w:w="2303" w:type="dxa"/>
          </w:tcPr>
          <w:p w:rsidR="00D83ED2" w:rsidRPr="00D83ED2" w:rsidRDefault="00D83ED2" w:rsidP="00D83ED2">
            <w:pPr>
              <w:jc w:val="center"/>
              <w:rPr>
                <w:b/>
                <w:color w:val="548DD4" w:themeColor="text2" w:themeTint="99"/>
              </w:rPr>
            </w:pPr>
            <w:r w:rsidRPr="00D83ED2">
              <w:rPr>
                <w:b/>
                <w:color w:val="548DD4" w:themeColor="text2" w:themeTint="99"/>
              </w:rPr>
              <w:t>Description de la situation</w:t>
            </w:r>
          </w:p>
        </w:tc>
        <w:tc>
          <w:tcPr>
            <w:tcW w:w="2303" w:type="dxa"/>
          </w:tcPr>
          <w:p w:rsidR="00D83ED2" w:rsidRPr="00D83ED2" w:rsidRDefault="00D83ED2" w:rsidP="00D83ED2">
            <w:pPr>
              <w:jc w:val="center"/>
              <w:rPr>
                <w:b/>
                <w:color w:val="548DD4" w:themeColor="text2" w:themeTint="99"/>
              </w:rPr>
            </w:pPr>
            <w:r w:rsidRPr="00D83ED2">
              <w:rPr>
                <w:b/>
                <w:color w:val="548DD4" w:themeColor="text2" w:themeTint="99"/>
              </w:rPr>
              <w:t>Conséquences</w:t>
            </w:r>
          </w:p>
        </w:tc>
        <w:tc>
          <w:tcPr>
            <w:tcW w:w="2303" w:type="dxa"/>
          </w:tcPr>
          <w:p w:rsidR="00D83ED2" w:rsidRPr="00D83ED2" w:rsidRDefault="00D83ED2" w:rsidP="00D83ED2">
            <w:pPr>
              <w:jc w:val="center"/>
              <w:rPr>
                <w:b/>
                <w:color w:val="548DD4" w:themeColor="text2" w:themeTint="99"/>
              </w:rPr>
            </w:pPr>
            <w:r w:rsidRPr="00D83ED2">
              <w:rPr>
                <w:b/>
                <w:color w:val="548DD4" w:themeColor="text2" w:themeTint="99"/>
              </w:rPr>
              <w:t>Prévention et bonnes pratiques</w:t>
            </w:r>
          </w:p>
        </w:tc>
      </w:tr>
      <w:tr w:rsidR="00D83ED2" w:rsidTr="004C2709">
        <w:tc>
          <w:tcPr>
            <w:tcW w:w="2303" w:type="dxa"/>
          </w:tcPr>
          <w:p w:rsidR="00D83ED2" w:rsidRPr="00D83ED2" w:rsidRDefault="00D83ED2" w:rsidP="004C2709">
            <w:r w:rsidRPr="00D83ED2">
              <w:t>Risque lié à l’utilisation et la manipulation de solvants</w:t>
            </w:r>
          </w:p>
          <w:p w:rsidR="00D83ED2" w:rsidRPr="00D83ED2" w:rsidRDefault="00D83ED2" w:rsidP="004C2709">
            <w:r w:rsidRPr="00D83ED2">
              <w:t>(éthers de glycol, alcools, xylène, toluène, …)</w:t>
            </w:r>
          </w:p>
        </w:tc>
        <w:tc>
          <w:tcPr>
            <w:tcW w:w="2303" w:type="dxa"/>
          </w:tcPr>
          <w:p w:rsidR="00D83ED2" w:rsidRPr="00D83ED2" w:rsidRDefault="00D83ED2" w:rsidP="004C2709">
            <w:r w:rsidRPr="00D83ED2">
              <w:t>• Dégraissage et nettoyage des pièces</w:t>
            </w:r>
          </w:p>
          <w:p w:rsidR="00D83ED2" w:rsidRPr="00D83ED2" w:rsidRDefault="00D83ED2" w:rsidP="004C2709">
            <w:r w:rsidRPr="00D83ED2">
              <w:t>• Utilisation de fluide freinage</w:t>
            </w:r>
          </w:p>
          <w:p w:rsidR="00D83ED2" w:rsidRPr="00D83ED2" w:rsidRDefault="00D83ED2" w:rsidP="004C2709">
            <w:r w:rsidRPr="00D83ED2">
              <w:t>• Dégrippant</w:t>
            </w:r>
          </w:p>
        </w:tc>
        <w:tc>
          <w:tcPr>
            <w:tcW w:w="2303" w:type="dxa"/>
          </w:tcPr>
          <w:p w:rsidR="00D83ED2" w:rsidRPr="00D83ED2" w:rsidRDefault="00D83ED2" w:rsidP="004C2709">
            <w:r w:rsidRPr="00D83ED2">
              <w:t>• Risque d’irritation et d’allergie cutanée</w:t>
            </w:r>
          </w:p>
          <w:p w:rsidR="00D83ED2" w:rsidRPr="00D83ED2" w:rsidRDefault="00D83ED2" w:rsidP="004C2709">
            <w:r w:rsidRPr="00D83ED2">
              <w:t>• Risque de troubles digestifs, d’effets neurologiques (vertiges, maux de têtes, perte de mémoire…)</w:t>
            </w:r>
          </w:p>
          <w:p w:rsidR="00D83ED2" w:rsidRPr="00D83ED2" w:rsidRDefault="00D83ED2" w:rsidP="004C2709">
            <w:r w:rsidRPr="00D83ED2">
              <w:t>• Risque pour le foie et les reins</w:t>
            </w:r>
          </w:p>
          <w:p w:rsidR="00D83ED2" w:rsidRPr="00D83ED2" w:rsidRDefault="00D83ED2" w:rsidP="004C2709">
            <w:r w:rsidRPr="00D83ED2">
              <w:t>• Certains produits peuvent passer dans le sang.</w:t>
            </w:r>
          </w:p>
          <w:p w:rsidR="00D83ED2" w:rsidRPr="00D83ED2" w:rsidRDefault="00D83ED2" w:rsidP="004C2709">
            <w:r w:rsidRPr="00D83ED2">
              <w:t>• Suspicion d’effet sur la fertilité (éthers de glycol)</w:t>
            </w:r>
          </w:p>
        </w:tc>
        <w:tc>
          <w:tcPr>
            <w:tcW w:w="2303" w:type="dxa"/>
          </w:tcPr>
          <w:p w:rsidR="00D83ED2" w:rsidRPr="00D83ED2" w:rsidRDefault="00D83ED2" w:rsidP="004C2709">
            <w:r w:rsidRPr="00D83ED2">
              <w:t>• choix des produits</w:t>
            </w:r>
          </w:p>
          <w:p w:rsidR="00D83ED2" w:rsidRPr="00D83ED2" w:rsidRDefault="00D83ED2" w:rsidP="004C2709">
            <w:r w:rsidRPr="00D83ED2">
              <w:t>• hygiène : ne pas se laver les mains avec les solvants, ne pas fumer, manger et boire dans les ateliers</w:t>
            </w:r>
          </w:p>
          <w:p w:rsidR="00D83ED2" w:rsidRPr="00D83ED2" w:rsidRDefault="00D83ED2" w:rsidP="004C2709">
            <w:r w:rsidRPr="00D83ED2">
              <w:t>• porter des gants (et/ou des crèmes protectrices) et une tenue de travail adaptés</w:t>
            </w:r>
          </w:p>
        </w:tc>
      </w:tr>
      <w:tr w:rsidR="00D83ED2" w:rsidTr="004C2709">
        <w:tc>
          <w:tcPr>
            <w:tcW w:w="2303" w:type="dxa"/>
          </w:tcPr>
          <w:p w:rsidR="00D83ED2" w:rsidRPr="00D83ED2" w:rsidRDefault="00D83ED2" w:rsidP="004C2709">
            <w:r w:rsidRPr="00D83ED2">
              <w:t>Risque lié à l’utilisation et la manipulation des huiles et graisses</w:t>
            </w:r>
          </w:p>
        </w:tc>
        <w:tc>
          <w:tcPr>
            <w:tcW w:w="2303" w:type="dxa"/>
          </w:tcPr>
          <w:p w:rsidR="00D83ED2" w:rsidRPr="00D83ED2" w:rsidRDefault="00D83ED2" w:rsidP="004C2709">
            <w:r w:rsidRPr="00D83ED2">
              <w:t>• Graissage</w:t>
            </w:r>
          </w:p>
          <w:p w:rsidR="00D83ED2" w:rsidRPr="00D83ED2" w:rsidRDefault="00D83ED2" w:rsidP="004C2709">
            <w:r w:rsidRPr="00D83ED2">
              <w:t>• Démontage et nettoyage des pièces</w:t>
            </w:r>
          </w:p>
        </w:tc>
        <w:tc>
          <w:tcPr>
            <w:tcW w:w="2303" w:type="dxa"/>
          </w:tcPr>
          <w:p w:rsidR="00D83ED2" w:rsidRPr="00D83ED2" w:rsidRDefault="00D83ED2" w:rsidP="004C2709">
            <w:r w:rsidRPr="00D83ED2">
              <w:t>• Risque d’affections cutanées (cancers dans le cas des contacts avec les huiles usagées)</w:t>
            </w:r>
          </w:p>
        </w:tc>
        <w:tc>
          <w:tcPr>
            <w:tcW w:w="2303" w:type="dxa"/>
          </w:tcPr>
          <w:p w:rsidR="00D83ED2" w:rsidRPr="00D83ED2" w:rsidRDefault="00D83ED2" w:rsidP="004C2709">
            <w:r w:rsidRPr="00D83ED2">
              <w:t>• hygiène : éviter le contact avec des vêtements imprégnés</w:t>
            </w:r>
          </w:p>
          <w:p w:rsidR="00D83ED2" w:rsidRPr="00D83ED2" w:rsidRDefault="00D83ED2" w:rsidP="004C2709">
            <w:r w:rsidRPr="00D83ED2">
              <w:t>• porter des gants (et/ou des crèmes protectrices) et une tenue de travail adaptés</w:t>
            </w:r>
          </w:p>
        </w:tc>
      </w:tr>
      <w:tr w:rsidR="00D83ED2" w:rsidTr="004C2709">
        <w:tc>
          <w:tcPr>
            <w:tcW w:w="2303" w:type="dxa"/>
          </w:tcPr>
          <w:p w:rsidR="00D83ED2" w:rsidRPr="00D83ED2" w:rsidRDefault="00D83ED2" w:rsidP="004C2709">
            <w:r w:rsidRPr="00D83ED2">
              <w:t>Risque lié à l’amiante</w:t>
            </w:r>
          </w:p>
          <w:p w:rsidR="00D83ED2" w:rsidRPr="00D83ED2" w:rsidRDefault="00D83ED2" w:rsidP="004C2709">
            <w:r w:rsidRPr="00D83ED2">
              <w:t>• (interdit depuis le 01/01/1997 présent dans les garnitures de freins et d’embrayage provenant de l’étranger Europe de l’Est et Sud)</w:t>
            </w:r>
          </w:p>
        </w:tc>
        <w:tc>
          <w:tcPr>
            <w:tcW w:w="2303" w:type="dxa"/>
          </w:tcPr>
          <w:p w:rsidR="00D83ED2" w:rsidRPr="00D83ED2" w:rsidRDefault="00D83ED2" w:rsidP="004C2709">
            <w:r w:rsidRPr="00D83ED2">
              <w:t>• Changement et nettoyage des garnitures</w:t>
            </w:r>
          </w:p>
          <w:p w:rsidR="00D83ED2" w:rsidRPr="00D83ED2" w:rsidRDefault="00D83ED2" w:rsidP="004C2709">
            <w:r w:rsidRPr="00D83ED2">
              <w:t>• Ne pas utiliser de soufflette à air comprimé pour le nettoyage des tambours et mécanisme de freins</w:t>
            </w:r>
          </w:p>
        </w:tc>
        <w:tc>
          <w:tcPr>
            <w:tcW w:w="2303" w:type="dxa"/>
          </w:tcPr>
          <w:p w:rsidR="00D83ED2" w:rsidRPr="00D83ED2" w:rsidRDefault="00D83ED2" w:rsidP="004C2709">
            <w:r w:rsidRPr="00D83ED2">
              <w:t>• Risque de plaques pleurales (épaississement de la plèvre - enveloppe des poumons)</w:t>
            </w:r>
          </w:p>
          <w:p w:rsidR="00D83ED2" w:rsidRPr="00D83ED2" w:rsidRDefault="00D83ED2" w:rsidP="004C2709">
            <w:r w:rsidRPr="00D83ED2">
              <w:t>• Risque de cancer broncho-pulmonaire</w:t>
            </w:r>
          </w:p>
          <w:p w:rsidR="00D83ED2" w:rsidRPr="00D83ED2" w:rsidRDefault="00D83ED2" w:rsidP="004C2709">
            <w:r w:rsidRPr="00D83ED2">
              <w:t>• Risque de cancer de la plèvre</w:t>
            </w:r>
          </w:p>
        </w:tc>
        <w:tc>
          <w:tcPr>
            <w:tcW w:w="2303" w:type="dxa"/>
          </w:tcPr>
          <w:p w:rsidR="00D83ED2" w:rsidRPr="00D83ED2" w:rsidRDefault="00D83ED2" w:rsidP="004C2709">
            <w:r w:rsidRPr="00D83ED2">
              <w:t>•Port d’un masque si possible.</w:t>
            </w:r>
          </w:p>
        </w:tc>
      </w:tr>
    </w:tbl>
    <w:p w:rsidR="00D83ED2" w:rsidRDefault="00D83ED2" w:rsidP="00D83ED2">
      <w:pPr>
        <w:jc w:val="center"/>
        <w:rPr>
          <w:b/>
          <w:bCs/>
          <w:sz w:val="28"/>
          <w:szCs w:val="28"/>
        </w:rPr>
      </w:pPr>
      <w:r>
        <w:rPr>
          <w:b/>
          <w:bCs/>
          <w:noProof/>
          <w:sz w:val="28"/>
          <w:szCs w:val="28"/>
          <w:lang w:eastAsia="fr-FR"/>
        </w:rPr>
        <w:drawing>
          <wp:inline distT="0" distB="0" distL="0" distR="0">
            <wp:extent cx="4792394" cy="2781300"/>
            <wp:effectExtent l="0" t="0" r="825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P.png"/>
                    <pic:cNvPicPr/>
                  </pic:nvPicPr>
                  <pic:blipFill>
                    <a:blip r:embed="rId10">
                      <a:extLst>
                        <a:ext uri="{28A0092B-C50C-407E-A947-70E740481C1C}">
                          <a14:useLocalDpi xmlns:a14="http://schemas.microsoft.com/office/drawing/2010/main" val="0"/>
                        </a:ext>
                      </a:extLst>
                    </a:blip>
                    <a:stretch>
                      <a:fillRect/>
                    </a:stretch>
                  </pic:blipFill>
                  <pic:spPr>
                    <a:xfrm>
                      <a:off x="0" y="0"/>
                      <a:ext cx="4798601" cy="2784902"/>
                    </a:xfrm>
                    <a:prstGeom prst="rect">
                      <a:avLst/>
                    </a:prstGeom>
                  </pic:spPr>
                </pic:pic>
              </a:graphicData>
            </a:graphic>
          </wp:inline>
        </w:drawing>
      </w:r>
    </w:p>
    <w:p w:rsidR="003A10C0" w:rsidRDefault="00A826FC" w:rsidP="003A10C0">
      <w:pPr>
        <w:rPr>
          <w:b/>
          <w:bCs/>
          <w:sz w:val="28"/>
          <w:szCs w:val="28"/>
        </w:rPr>
      </w:pPr>
      <w:r>
        <w:rPr>
          <w:noProof/>
          <w:sz w:val="28"/>
          <w:szCs w:val="28"/>
          <w:lang w:eastAsia="fr-FR"/>
        </w:rPr>
        <w:lastRenderedPageBreak/>
        <w:drawing>
          <wp:inline distT="0" distB="0" distL="0" distR="0" wp14:anchorId="311F4082" wp14:editId="16FA8329">
            <wp:extent cx="2790825" cy="3486150"/>
            <wp:effectExtent l="0" t="0" r="9525"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90477" cy="3485715"/>
                    </a:xfrm>
                    <a:prstGeom prst="rect">
                      <a:avLst/>
                    </a:prstGeom>
                  </pic:spPr>
                </pic:pic>
              </a:graphicData>
            </a:graphic>
          </wp:inline>
        </w:drawing>
      </w:r>
      <w:r>
        <w:rPr>
          <w:noProof/>
          <w:sz w:val="28"/>
          <w:szCs w:val="28"/>
          <w:lang w:eastAsia="fr-FR"/>
        </w:rPr>
        <w:drawing>
          <wp:inline distT="0" distB="0" distL="0" distR="0" wp14:anchorId="23867DC2" wp14:editId="7993485A">
            <wp:extent cx="2943225" cy="3495674"/>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42858" cy="3495238"/>
                    </a:xfrm>
                    <a:prstGeom prst="rect">
                      <a:avLst/>
                    </a:prstGeom>
                  </pic:spPr>
                </pic:pic>
              </a:graphicData>
            </a:graphic>
          </wp:inline>
        </w:drawing>
      </w:r>
      <w:r>
        <w:rPr>
          <w:noProof/>
          <w:sz w:val="28"/>
          <w:szCs w:val="28"/>
          <w:lang w:eastAsia="fr-FR"/>
        </w:rPr>
        <w:drawing>
          <wp:inline distT="0" distB="0" distL="0" distR="0" wp14:anchorId="224B8C79" wp14:editId="4758C776">
            <wp:extent cx="2790825" cy="46196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90477" cy="4619049"/>
                    </a:xfrm>
                    <a:prstGeom prst="rect">
                      <a:avLst/>
                    </a:prstGeom>
                  </pic:spPr>
                </pic:pic>
              </a:graphicData>
            </a:graphic>
          </wp:inline>
        </w:drawing>
      </w:r>
      <w:r>
        <w:rPr>
          <w:noProof/>
          <w:sz w:val="28"/>
          <w:szCs w:val="28"/>
          <w:lang w:eastAsia="fr-FR"/>
        </w:rPr>
        <w:drawing>
          <wp:inline distT="0" distB="0" distL="0" distR="0" wp14:anchorId="33E8DAFA" wp14:editId="07256BE3">
            <wp:extent cx="2943225" cy="46291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42857" cy="4628571"/>
                    </a:xfrm>
                    <a:prstGeom prst="rect">
                      <a:avLst/>
                    </a:prstGeom>
                  </pic:spPr>
                </pic:pic>
              </a:graphicData>
            </a:graphic>
          </wp:inline>
        </w:drawing>
      </w:r>
      <w:r w:rsidR="003A10C0" w:rsidRPr="003A10C0">
        <w:rPr>
          <w:b/>
          <w:bCs/>
          <w:sz w:val="28"/>
          <w:szCs w:val="28"/>
        </w:rPr>
        <w:t xml:space="preserve"> </w:t>
      </w:r>
    </w:p>
    <w:p w:rsidR="003A10C0" w:rsidRDefault="003A10C0" w:rsidP="003A10C0">
      <w:pPr>
        <w:rPr>
          <w:b/>
          <w:bCs/>
          <w:sz w:val="28"/>
          <w:szCs w:val="28"/>
        </w:rPr>
      </w:pPr>
    </w:p>
    <w:p w:rsidR="00A826FC" w:rsidRPr="00A826FC" w:rsidRDefault="00A826FC" w:rsidP="00A826FC">
      <w:pPr>
        <w:rPr>
          <w:sz w:val="28"/>
          <w:szCs w:val="28"/>
        </w:rPr>
      </w:pPr>
    </w:p>
    <w:sectPr w:rsidR="00A826FC" w:rsidRPr="00A826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4B" w:rsidRDefault="001B344B" w:rsidP="00D83ED2">
      <w:pPr>
        <w:spacing w:after="0" w:line="240" w:lineRule="auto"/>
      </w:pPr>
      <w:r>
        <w:separator/>
      </w:r>
    </w:p>
  </w:endnote>
  <w:endnote w:type="continuationSeparator" w:id="0">
    <w:p w:rsidR="001B344B" w:rsidRDefault="001B344B" w:rsidP="00D8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4B" w:rsidRDefault="001B344B" w:rsidP="00D83ED2">
      <w:pPr>
        <w:spacing w:after="0" w:line="240" w:lineRule="auto"/>
      </w:pPr>
      <w:r>
        <w:separator/>
      </w:r>
    </w:p>
  </w:footnote>
  <w:footnote w:type="continuationSeparator" w:id="0">
    <w:p w:rsidR="001B344B" w:rsidRDefault="001B344B" w:rsidP="00D83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58"/>
    <w:rsid w:val="001B344B"/>
    <w:rsid w:val="003A10C0"/>
    <w:rsid w:val="003C04F4"/>
    <w:rsid w:val="003F2360"/>
    <w:rsid w:val="009D4292"/>
    <w:rsid w:val="00A12858"/>
    <w:rsid w:val="00A826FC"/>
    <w:rsid w:val="00D25D5A"/>
    <w:rsid w:val="00D83ED2"/>
    <w:rsid w:val="00F72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2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858"/>
    <w:rPr>
      <w:rFonts w:ascii="Tahoma" w:hAnsi="Tahoma" w:cs="Tahoma"/>
      <w:sz w:val="16"/>
      <w:szCs w:val="16"/>
    </w:rPr>
  </w:style>
  <w:style w:type="table" w:styleId="Grilledutableau">
    <w:name w:val="Table Grid"/>
    <w:basedOn w:val="TableauNormal"/>
    <w:uiPriority w:val="59"/>
    <w:rsid w:val="00F72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83ED2"/>
    <w:pPr>
      <w:tabs>
        <w:tab w:val="center" w:pos="4536"/>
        <w:tab w:val="right" w:pos="9072"/>
      </w:tabs>
      <w:spacing w:after="0" w:line="240" w:lineRule="auto"/>
    </w:pPr>
  </w:style>
  <w:style w:type="character" w:customStyle="1" w:styleId="En-tteCar">
    <w:name w:val="En-tête Car"/>
    <w:basedOn w:val="Policepardfaut"/>
    <w:link w:val="En-tte"/>
    <w:uiPriority w:val="99"/>
    <w:rsid w:val="00D83ED2"/>
  </w:style>
  <w:style w:type="paragraph" w:styleId="Pieddepage">
    <w:name w:val="footer"/>
    <w:basedOn w:val="Normal"/>
    <w:link w:val="PieddepageCar"/>
    <w:uiPriority w:val="99"/>
    <w:unhideWhenUsed/>
    <w:rsid w:val="00D83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3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2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858"/>
    <w:rPr>
      <w:rFonts w:ascii="Tahoma" w:hAnsi="Tahoma" w:cs="Tahoma"/>
      <w:sz w:val="16"/>
      <w:szCs w:val="16"/>
    </w:rPr>
  </w:style>
  <w:style w:type="table" w:styleId="Grilledutableau">
    <w:name w:val="Table Grid"/>
    <w:basedOn w:val="TableauNormal"/>
    <w:uiPriority w:val="59"/>
    <w:rsid w:val="00F72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83ED2"/>
    <w:pPr>
      <w:tabs>
        <w:tab w:val="center" w:pos="4536"/>
        <w:tab w:val="right" w:pos="9072"/>
      </w:tabs>
      <w:spacing w:after="0" w:line="240" w:lineRule="auto"/>
    </w:pPr>
  </w:style>
  <w:style w:type="character" w:customStyle="1" w:styleId="En-tteCar">
    <w:name w:val="En-tête Car"/>
    <w:basedOn w:val="Policepardfaut"/>
    <w:link w:val="En-tte"/>
    <w:uiPriority w:val="99"/>
    <w:rsid w:val="00D83ED2"/>
  </w:style>
  <w:style w:type="paragraph" w:styleId="Pieddepage">
    <w:name w:val="footer"/>
    <w:basedOn w:val="Normal"/>
    <w:link w:val="PieddepageCar"/>
    <w:uiPriority w:val="99"/>
    <w:unhideWhenUsed/>
    <w:rsid w:val="00D83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THIERRY</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CHEVRIER</dc:creator>
  <cp:keywords/>
  <dc:description/>
  <cp:lastModifiedBy>CHEVRIER</cp:lastModifiedBy>
  <cp:revision>2</cp:revision>
  <dcterms:created xsi:type="dcterms:W3CDTF">2014-06-18T09:52:00Z</dcterms:created>
  <dcterms:modified xsi:type="dcterms:W3CDTF">2014-06-18T09:52:00Z</dcterms:modified>
</cp:coreProperties>
</file>