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BAB14" w14:textId="77777777" w:rsidR="00935A80" w:rsidRDefault="00000000">
      <w:pPr>
        <w:pStyle w:val="Corps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b/>
          <w:bCs/>
        </w:rPr>
      </w:pPr>
      <w:r>
        <w:rPr>
          <w:b/>
          <w:bCs/>
        </w:rPr>
        <w:t>Proposition de publication, BTS OL en Analyse de la vision</w:t>
      </w:r>
    </w:p>
    <w:p w14:paraId="233EFBEE" w14:textId="77777777" w:rsidR="00935A80" w:rsidRDefault="00935A80">
      <w:pPr>
        <w:pStyle w:val="Corps"/>
      </w:pPr>
    </w:p>
    <w:p w14:paraId="42538EE3" w14:textId="77777777" w:rsidR="00935A80" w:rsidRDefault="00000000">
      <w:pPr>
        <w:pStyle w:val="Corps"/>
      </w:pPr>
      <w:r>
        <w:rPr>
          <w:rStyle w:val="Aucun"/>
          <w:b/>
          <w:bCs/>
        </w:rPr>
        <w:t>1. Progression pédagogique</w:t>
      </w:r>
      <w:r>
        <w:t xml:space="preserve"> sur 2 ans en analyse de la vision.</w:t>
      </w:r>
    </w:p>
    <w:p w14:paraId="1A9D6180" w14:textId="77777777" w:rsidR="00935A80" w:rsidRDefault="00000000">
      <w:pPr>
        <w:pStyle w:val="Corps"/>
      </w:pPr>
      <w:proofErr w:type="spellStart"/>
      <w:r>
        <w:t>Premi</w:t>
      </w:r>
      <w:proofErr w:type="spellEnd"/>
      <w:r>
        <w:rPr>
          <w:lang w:val="it-IT"/>
        </w:rPr>
        <w:t>è</w:t>
      </w:r>
      <w:r>
        <w:t xml:space="preserve">re et </w:t>
      </w:r>
      <w:proofErr w:type="spellStart"/>
      <w:r>
        <w:t>deuxi</w:t>
      </w:r>
      <w:proofErr w:type="spellEnd"/>
      <w:r>
        <w:rPr>
          <w:lang w:val="it-IT"/>
        </w:rPr>
        <w:t>ème ann</w:t>
      </w:r>
      <w:proofErr w:type="spellStart"/>
      <w:r>
        <w:t>ée</w:t>
      </w:r>
      <w:proofErr w:type="spellEnd"/>
      <w:r>
        <w:t>, chapitres par périodes.</w:t>
      </w:r>
    </w:p>
    <w:p w14:paraId="22B22678" w14:textId="6ADD61DA" w:rsidR="00935A80" w:rsidRDefault="00000000">
      <w:pPr>
        <w:pStyle w:val="Corps"/>
      </w:pPr>
      <w:r>
        <w:tab/>
      </w:r>
    </w:p>
    <w:p w14:paraId="277AA190" w14:textId="77777777" w:rsidR="00935A80" w:rsidRDefault="00935A80">
      <w:pPr>
        <w:pStyle w:val="Corps"/>
      </w:pPr>
    </w:p>
    <w:p w14:paraId="2694CE3B" w14:textId="5BE71AD7" w:rsidR="00935A80" w:rsidRDefault="00000000">
      <w:pPr>
        <w:pStyle w:val="Corps"/>
      </w:pPr>
      <w:r>
        <w:rPr>
          <w:rStyle w:val="Aucun"/>
          <w:b/>
          <w:bCs/>
        </w:rPr>
        <w:t>2. Une vidéo</w:t>
      </w:r>
      <w:r>
        <w:t xml:space="preserve"> </w:t>
      </w:r>
      <w:r>
        <w:rPr>
          <w:rStyle w:val="Aucun"/>
          <w:b/>
          <w:bCs/>
        </w:rPr>
        <w:t>N°1</w:t>
      </w:r>
      <w:r>
        <w:t xml:space="preserve"> </w:t>
      </w:r>
      <w:r>
        <w:rPr>
          <w:lang w:val="pt-PT"/>
        </w:rPr>
        <w:t xml:space="preserve">de </w:t>
      </w:r>
      <w:r>
        <w:rPr>
          <w:rStyle w:val="Aucun"/>
          <w:b/>
          <w:bCs/>
        </w:rPr>
        <w:t>présentation de la tête de réfracteur</w:t>
      </w:r>
      <w:r>
        <w:t xml:space="preserve"> avec document imprimable (Document à remplir)</w:t>
      </w:r>
    </w:p>
    <w:p w14:paraId="35B87AC3" w14:textId="70235751" w:rsidR="00935A80" w:rsidRDefault="003C0313">
      <w:pPr>
        <w:pStyle w:val="Corps"/>
      </w:pPr>
      <w:r>
        <w:rPr>
          <w:noProof/>
        </w:rPr>
        <w:drawing>
          <wp:inline distT="0" distB="0" distL="0" distR="0" wp14:anchorId="294C7209" wp14:editId="74BF81FB">
            <wp:extent cx="1206500" cy="1233164"/>
            <wp:effectExtent l="0" t="0" r="0" b="5715"/>
            <wp:docPr id="1073741827" name="officeArt object" descr="Screenshot_2022-01-03-11-37-11 - Version 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shot_2022-01-03-11-37-11 - Version 6.jpg" descr="Screenshot_2022-01-03-11-37-11 - Version 6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331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D9BDE2" wp14:editId="70F3B645">
            <wp:extent cx="1460500" cy="1225451"/>
            <wp:effectExtent l="0" t="0" r="6350" b="0"/>
            <wp:docPr id="1073741828" name="officeArt object" descr="dropped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roppedImage.tiff" descr="droppedImage.tiff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254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14A4FB4" w14:textId="77777777" w:rsidR="00935A80" w:rsidRDefault="00000000">
      <w:pPr>
        <w:pStyle w:val="Corps"/>
      </w:pPr>
      <w:r>
        <w:t xml:space="preserve">Descriptif pour une </w:t>
      </w:r>
      <w:proofErr w:type="spellStart"/>
      <w:r>
        <w:t>premi</w:t>
      </w:r>
      <w:proofErr w:type="spellEnd"/>
      <w:r>
        <w:rPr>
          <w:lang w:val="it-IT"/>
        </w:rPr>
        <w:t>è</w:t>
      </w:r>
      <w:r>
        <w:t>re découverte, et ré</w:t>
      </w:r>
      <w:r w:rsidRPr="003C0313">
        <w:t>sum</w:t>
      </w:r>
      <w:r>
        <w:t xml:space="preserve">é des </w:t>
      </w:r>
      <w:proofErr w:type="spellStart"/>
      <w:r>
        <w:t>diffé</w:t>
      </w:r>
      <w:proofErr w:type="spellEnd"/>
      <w:r>
        <w:rPr>
          <w:lang w:val="pt-PT"/>
        </w:rPr>
        <w:t>rentes possibilit</w:t>
      </w:r>
      <w:proofErr w:type="spellStart"/>
      <w:r>
        <w:t>és</w:t>
      </w:r>
      <w:proofErr w:type="spellEnd"/>
      <w:r>
        <w:t xml:space="preserve"> et réglages de l</w:t>
      </w:r>
      <w:r>
        <w:rPr>
          <w:rtl/>
        </w:rPr>
        <w:t>’</w:t>
      </w:r>
      <w:r>
        <w:t>appareil, pour une tête de réfracteur non automatisée, comme celles qui sont utilisées pour l’épreuve d</w:t>
      </w:r>
      <w:r>
        <w:rPr>
          <w:rtl/>
        </w:rPr>
        <w:t>’</w:t>
      </w:r>
      <w:r>
        <w:t>examen de vue.</w:t>
      </w:r>
    </w:p>
    <w:p w14:paraId="1AE05D19" w14:textId="77777777" w:rsidR="00935A80" w:rsidRDefault="00935A80">
      <w:pPr>
        <w:pStyle w:val="Corps"/>
      </w:pPr>
    </w:p>
    <w:p w14:paraId="2C603E1C" w14:textId="77777777" w:rsidR="00935A80" w:rsidRDefault="00000000">
      <w:pPr>
        <w:pStyle w:val="Corps"/>
      </w:pPr>
      <w:r>
        <w:rPr>
          <w:rStyle w:val="Aucun"/>
          <w:b/>
          <w:bCs/>
          <w:lang w:val="de-DE"/>
        </w:rPr>
        <w:t xml:space="preserve">3. </w:t>
      </w:r>
      <w:proofErr w:type="spellStart"/>
      <w:r>
        <w:rPr>
          <w:rStyle w:val="Aucun"/>
          <w:b/>
          <w:bCs/>
          <w:lang w:val="de-DE"/>
        </w:rPr>
        <w:t>Tutoriels</w:t>
      </w:r>
      <w:proofErr w:type="spellEnd"/>
      <w:r>
        <w:rPr>
          <w:rStyle w:val="Aucun"/>
          <w:b/>
          <w:bCs/>
          <w:lang w:val="de-DE"/>
        </w:rPr>
        <w:t xml:space="preserve"> Vid</w:t>
      </w:r>
      <w:proofErr w:type="spellStart"/>
      <w:r>
        <w:rPr>
          <w:rStyle w:val="Aucun"/>
          <w:b/>
          <w:bCs/>
        </w:rPr>
        <w:t>éos</w:t>
      </w:r>
      <w:proofErr w:type="spellEnd"/>
      <w:r>
        <w:rPr>
          <w:rStyle w:val="Aucun"/>
          <w:b/>
          <w:bCs/>
        </w:rPr>
        <w:t xml:space="preserve"> en examen de vue sur la méthode des cylindres croisés à retournemen</w:t>
      </w:r>
      <w:r>
        <w:t>t, avec manipulations pratiques</w:t>
      </w:r>
      <w:r w:rsidRPr="003C0313">
        <w:t xml:space="preserve"> et justifications th</w:t>
      </w:r>
      <w:r>
        <w:t>éoriques à connaitre en analyse de la vision.</w:t>
      </w:r>
    </w:p>
    <w:p w14:paraId="033B75BB" w14:textId="77777777" w:rsidR="00935A80" w:rsidRDefault="00000000">
      <w:pPr>
        <w:pStyle w:val="Corps"/>
      </w:pPr>
      <w:r>
        <w:rPr>
          <w:noProof/>
        </w:rPr>
        <w:drawing>
          <wp:inline distT="0" distB="0" distL="0" distR="0" wp14:anchorId="538DFC9A" wp14:editId="092083FA">
            <wp:extent cx="1155700" cy="1414242"/>
            <wp:effectExtent l="0" t="0" r="0" b="0"/>
            <wp:docPr id="1073741825" name="officeArt object" descr="dropped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roppedImage.tiff" descr="droppedImage.ti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4142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3D41A" wp14:editId="599CD1D2">
            <wp:extent cx="3916691" cy="1435100"/>
            <wp:effectExtent l="0" t="0" r="0" b="0"/>
            <wp:docPr id="1073741826" name="officeArt object" descr="dropped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roppedImage.tiff" descr="dropped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6691" cy="143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B202F96" w14:textId="77777777" w:rsidR="00935A80" w:rsidRDefault="00935A80">
      <w:pPr>
        <w:pStyle w:val="Corps"/>
      </w:pPr>
    </w:p>
    <w:p w14:paraId="3CCE4282" w14:textId="2D1097AF" w:rsidR="00935A80" w:rsidRDefault="00000000">
      <w:pPr>
        <w:pStyle w:val="Corps"/>
      </w:pPr>
      <w:r w:rsidRPr="003C0313">
        <w:t>Les explications th</w:t>
      </w:r>
      <w:r>
        <w:t>éoriques nécessitent d</w:t>
      </w:r>
      <w:r>
        <w:rPr>
          <w:rtl/>
        </w:rPr>
        <w:t>’</w:t>
      </w:r>
      <w:r>
        <w:t>avoir traité l</w:t>
      </w:r>
      <w:r>
        <w:rPr>
          <w:rtl/>
        </w:rPr>
        <w:t>’</w:t>
      </w:r>
      <w:r>
        <w:rPr>
          <w:lang w:val="it-IT"/>
        </w:rPr>
        <w:t>oeil astigmate non compens</w:t>
      </w:r>
      <w:r>
        <w:t>é</w:t>
      </w:r>
      <w:r>
        <w:rPr>
          <w:lang w:val="it-IT"/>
        </w:rPr>
        <w:t>, compens</w:t>
      </w:r>
      <w:r>
        <w:t>é, ainsi que les combinaisons de cylindres. Les explications pratiques permettent de démarrer plus rapidement les premiers TP sur CCR en salle d</w:t>
      </w:r>
      <w:r>
        <w:rPr>
          <w:rtl/>
        </w:rPr>
        <w:t>’</w:t>
      </w:r>
      <w:r>
        <w:t>examen de vue.</w:t>
      </w:r>
    </w:p>
    <w:p w14:paraId="4FDA401E" w14:textId="77777777" w:rsidR="00935A80" w:rsidRDefault="00000000">
      <w:pPr>
        <w:pStyle w:val="Corps"/>
      </w:pPr>
      <w:r>
        <w:t>Ces vidéos permettent aux étudiants d</w:t>
      </w:r>
      <w:r>
        <w:rPr>
          <w:rtl/>
        </w:rPr>
        <w:t>’</w:t>
      </w:r>
      <w:r>
        <w:t>avoir travaillé en amont, avant la nécessaire pratique pour assimiler plus rapidement la méthode, pour ensuite revenir sur la théorie.</w:t>
      </w:r>
    </w:p>
    <w:p w14:paraId="02DA9A9D" w14:textId="77777777" w:rsidR="00935A80" w:rsidRDefault="00935A80">
      <w:pPr>
        <w:pStyle w:val="Corps"/>
      </w:pPr>
    </w:p>
    <w:p w14:paraId="176A391A" w14:textId="7820FE58" w:rsidR="00935A80" w:rsidRDefault="00000000">
      <w:pPr>
        <w:pStyle w:val="Corps"/>
      </w:pPr>
      <w:r>
        <w:rPr>
          <w:lang w:val="nl-NL"/>
        </w:rPr>
        <w:t xml:space="preserve">4 tutoriels </w:t>
      </w:r>
      <w:proofErr w:type="spellStart"/>
      <w:r>
        <w:rPr>
          <w:lang w:val="nl-NL"/>
        </w:rPr>
        <w:t>vid</w:t>
      </w:r>
      <w:r>
        <w:t>éos</w:t>
      </w:r>
      <w:proofErr w:type="spellEnd"/>
      <w:r w:rsidR="003C0313">
        <w:t> :</w:t>
      </w:r>
    </w:p>
    <w:p w14:paraId="611D5989" w14:textId="6D5B3628" w:rsidR="00935A80" w:rsidRDefault="00000000" w:rsidP="003C0313">
      <w:pPr>
        <w:pStyle w:val="Corps"/>
        <w:numPr>
          <w:ilvl w:val="0"/>
          <w:numId w:val="1"/>
        </w:numPr>
      </w:pPr>
      <w:r>
        <w:t>Présentation des CCR sur tête de réfracteur ou sur lunettes d’essai.</w:t>
      </w:r>
    </w:p>
    <w:p w14:paraId="3E00CB5D" w14:textId="2D38ED92" w:rsidR="00935A80" w:rsidRDefault="00000000" w:rsidP="003C0313">
      <w:pPr>
        <w:pStyle w:val="Corps"/>
        <w:numPr>
          <w:ilvl w:val="0"/>
          <w:numId w:val="1"/>
        </w:numPr>
      </w:pPr>
      <w:r>
        <w:t>Recherche d’astigmatisme avec les CCR, méthode des 4 positions.</w:t>
      </w:r>
    </w:p>
    <w:p w14:paraId="3F868C85" w14:textId="38E6EF78" w:rsidR="00935A80" w:rsidRDefault="00000000" w:rsidP="003C0313">
      <w:pPr>
        <w:pStyle w:val="Corps"/>
        <w:numPr>
          <w:ilvl w:val="0"/>
          <w:numId w:val="1"/>
        </w:numPr>
      </w:pPr>
      <w:r>
        <w:t>Vérification de l’axe du cylindre porté avec les CCR.</w:t>
      </w:r>
    </w:p>
    <w:p w14:paraId="27C9AD13" w14:textId="017CCBD7" w:rsidR="00935A80" w:rsidRDefault="00000000" w:rsidP="003C0313">
      <w:pPr>
        <w:pStyle w:val="Corps"/>
        <w:numPr>
          <w:ilvl w:val="0"/>
          <w:numId w:val="1"/>
        </w:numPr>
      </w:pPr>
      <w:r>
        <w:t>Vérification de la valeur du cylindre avec les CCR.</w:t>
      </w:r>
    </w:p>
    <w:p w14:paraId="7F0174CF" w14:textId="77777777" w:rsidR="00935A80" w:rsidRDefault="00935A80">
      <w:pPr>
        <w:pStyle w:val="Corps"/>
      </w:pPr>
    </w:p>
    <w:p w14:paraId="75EB3144" w14:textId="5D3F207B" w:rsidR="00935A80" w:rsidRDefault="00000000">
      <w:pPr>
        <w:pStyle w:val="Corps"/>
      </w:pPr>
      <w:r>
        <w:rPr>
          <w:rStyle w:val="Aucun"/>
          <w:b/>
          <w:bCs/>
        </w:rPr>
        <w:t>4. Un résumé des vidéos</w:t>
      </w:r>
      <w:r>
        <w:t xml:space="preserve"> : résumé de la manipulation des CCR</w:t>
      </w:r>
    </w:p>
    <w:p w14:paraId="2A5247C6" w14:textId="77777777" w:rsidR="00935A80" w:rsidRDefault="00935A80">
      <w:pPr>
        <w:pStyle w:val="Corps"/>
      </w:pPr>
    </w:p>
    <w:p w14:paraId="31984C6D" w14:textId="77777777" w:rsidR="00935A80" w:rsidRDefault="00000000">
      <w:pPr>
        <w:pStyle w:val="Corps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b/>
          <w:bCs/>
        </w:rPr>
      </w:pPr>
      <w:r>
        <w:rPr>
          <w:b/>
          <w:bCs/>
        </w:rPr>
        <w:t>5. Sujet de TD et corrigé.</w:t>
      </w:r>
    </w:p>
    <w:p w14:paraId="3AB8AEBD" w14:textId="77777777" w:rsidR="00935A80" w:rsidRDefault="00935A80">
      <w:pPr>
        <w:pStyle w:val="Corps"/>
      </w:pPr>
    </w:p>
    <w:p w14:paraId="5A146AE4" w14:textId="4E076FB3" w:rsidR="00935A80" w:rsidRDefault="00000000">
      <w:pPr>
        <w:pStyle w:val="Corps"/>
      </w:pPr>
      <w:r>
        <w:t>Une fois la méthode pratique assimilée, on remet ici en place la partie théorique pour l’épreuve d</w:t>
      </w:r>
      <w:r>
        <w:rPr>
          <w:rtl/>
        </w:rPr>
        <w:t>’</w:t>
      </w:r>
      <w:r>
        <w:t>analyse de la vision (é</w:t>
      </w:r>
      <w:r>
        <w:rPr>
          <w:lang w:val="it-IT"/>
        </w:rPr>
        <w:t>crit).</w:t>
      </w:r>
    </w:p>
    <w:p w14:paraId="58DCB720" w14:textId="0E55142D" w:rsidR="00935A80" w:rsidRDefault="00000000" w:rsidP="003C0313">
      <w:pPr>
        <w:pStyle w:val="Corps"/>
      </w:pPr>
      <w:r>
        <w:tab/>
      </w:r>
    </w:p>
    <w:p w14:paraId="266A3ED0" w14:textId="77777777" w:rsidR="00935A80" w:rsidRDefault="00935A80">
      <w:pPr>
        <w:pStyle w:val="Corps"/>
      </w:pPr>
    </w:p>
    <w:p w14:paraId="5F842362" w14:textId="77777777" w:rsidR="00935A80" w:rsidRDefault="00935A80">
      <w:pPr>
        <w:pStyle w:val="Corps"/>
      </w:pPr>
    </w:p>
    <w:p w14:paraId="36DF6022" w14:textId="77777777" w:rsidR="00935A80" w:rsidRDefault="00000000">
      <w:pPr>
        <w:pStyle w:val="Corps"/>
        <w:rPr>
          <w:rStyle w:val="Aucun"/>
          <w:rFonts w:ascii="Times New Roman" w:eastAsia="Times New Roman" w:hAnsi="Times New Roman" w:cs="Times New Roman"/>
          <w:b/>
          <w:bCs/>
        </w:rPr>
      </w:pPr>
      <w:r>
        <w:rPr>
          <w:rStyle w:val="Aucun"/>
          <w:b/>
          <w:bCs/>
          <w:u w:val="single"/>
        </w:rPr>
        <w:lastRenderedPageBreak/>
        <w:t xml:space="preserve"> Partie correspondant du référentiel (page 13) : </w:t>
      </w:r>
      <w:r>
        <w:rPr>
          <w:rStyle w:val="Aucun"/>
          <w:rFonts w:ascii="Times New Roman" w:hAnsi="Times New Roman"/>
          <w:b/>
          <w:bCs/>
        </w:rPr>
        <w:t>Cylindre(s) croisé(s) par retournement (CCR)</w:t>
      </w:r>
    </w:p>
    <w:p w14:paraId="3277CF32" w14:textId="77777777" w:rsidR="00935A80" w:rsidRDefault="00935A80">
      <w:pPr>
        <w:pStyle w:val="Corps"/>
        <w:rPr>
          <w:rStyle w:val="Aucun"/>
          <w:rFonts w:ascii="Times New Roman" w:eastAsia="Times New Roman" w:hAnsi="Times New Roman" w:cs="Times New Roman"/>
          <w:b/>
          <w:bCs/>
        </w:rPr>
      </w:pPr>
    </w:p>
    <w:p w14:paraId="395478A5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Style w:val="Aucun"/>
          <w:rFonts w:ascii="Times New Roman" w:hAnsi="Times New Roman"/>
          <w:b/>
          <w:bCs/>
        </w:rPr>
        <w:t>-</w:t>
      </w:r>
      <w:r>
        <w:rPr>
          <w:rFonts w:ascii="Times New Roman" w:hAnsi="Times New Roman"/>
        </w:rPr>
        <w:t xml:space="preserve">Déterminer le cylindre résultant pour les différentes positions du cylindre croisé </w:t>
      </w:r>
    </w:p>
    <w:p w14:paraId="78A536B8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lang w:val="de-DE"/>
        </w:rPr>
        <w:t>-</w:t>
      </w:r>
      <w:proofErr w:type="spellStart"/>
      <w:r>
        <w:rPr>
          <w:rFonts w:ascii="Times New Roman" w:hAnsi="Times New Roman"/>
          <w:lang w:val="de-DE"/>
        </w:rPr>
        <w:t>Repr</w:t>
      </w:r>
      <w:proofErr w:type="spellEnd"/>
      <w:r>
        <w:rPr>
          <w:rFonts w:ascii="Times New Roman" w:hAnsi="Times New Roman"/>
        </w:rPr>
        <w:t>é</w:t>
      </w:r>
      <w:proofErr w:type="spellStart"/>
      <w:r>
        <w:rPr>
          <w:rFonts w:ascii="Times New Roman" w:hAnsi="Times New Roman"/>
          <w:lang w:val="de-DE"/>
        </w:rPr>
        <w:t>senter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sch</w:t>
      </w:r>
      <w:r>
        <w:rPr>
          <w:rFonts w:ascii="Times New Roman" w:hAnsi="Times New Roman"/>
        </w:rPr>
        <w:t>ématiquement</w:t>
      </w:r>
      <w:proofErr w:type="spellEnd"/>
      <w:r>
        <w:rPr>
          <w:rFonts w:ascii="Times New Roman" w:hAnsi="Times New Roman"/>
        </w:rPr>
        <w:t xml:space="preserve"> un CCR, avec positions relatives des axes et de l</w:t>
      </w:r>
      <w:r>
        <w:rPr>
          <w:rFonts w:ascii="Times New Roman" w:hAnsi="Times New Roman"/>
          <w:rtl/>
        </w:rPr>
        <w:t>’</w:t>
      </w:r>
      <w:r>
        <w:rPr>
          <w:rFonts w:ascii="Times New Roman" w:hAnsi="Times New Roman"/>
        </w:rPr>
        <w:t xml:space="preserve">axe de rotation (manche) </w:t>
      </w:r>
    </w:p>
    <w:p w14:paraId="75311672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-Ecrire la formule </w:t>
      </w:r>
      <w:proofErr w:type="spellStart"/>
      <w:r>
        <w:rPr>
          <w:rFonts w:ascii="Times New Roman" w:hAnsi="Times New Roman"/>
        </w:rPr>
        <w:t>sphéro-cyl</w:t>
      </w:r>
      <w:proofErr w:type="spellEnd"/>
      <w:r>
        <w:rPr>
          <w:rFonts w:ascii="Times New Roman" w:hAnsi="Times New Roman"/>
        </w:rPr>
        <w:t xml:space="preserve"> d</w:t>
      </w:r>
      <w:r>
        <w:rPr>
          <w:rFonts w:ascii="Times New Roman" w:hAnsi="Times New Roman"/>
          <w:rtl/>
        </w:rPr>
        <w:t>’</w:t>
      </w:r>
      <w:r>
        <w:rPr>
          <w:rFonts w:ascii="Times New Roman" w:hAnsi="Times New Roman"/>
        </w:rPr>
        <w:t>un cylindre crois</w:t>
      </w:r>
      <w:r>
        <w:rPr>
          <w:rFonts w:ascii="Times New Roman" w:hAnsi="Times New Roman"/>
          <w:rtl/>
        </w:rPr>
        <w:t xml:space="preserve">é ± </w:t>
      </w:r>
      <w:r>
        <w:rPr>
          <w:rFonts w:ascii="Times New Roman" w:hAnsi="Times New Roman"/>
        </w:rPr>
        <w:t xml:space="preserve">C/2 (dans chaque position) </w:t>
      </w:r>
    </w:p>
    <w:p w14:paraId="7736F8F0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-Rechercher ou vérifier le port de la SMA (</w:t>
      </w:r>
      <w:proofErr w:type="spellStart"/>
      <w:r>
        <w:rPr>
          <w:rFonts w:ascii="Times New Roman" w:hAnsi="Times New Roman"/>
        </w:rPr>
        <w:t>sph</w:t>
      </w:r>
      <w:proofErr w:type="spellEnd"/>
      <w:r>
        <w:rPr>
          <w:rFonts w:ascii="Times New Roman" w:hAnsi="Times New Roman"/>
          <w:lang w:val="it-IT"/>
        </w:rPr>
        <w:t>è</w:t>
      </w:r>
      <w:r>
        <w:rPr>
          <w:rFonts w:ascii="Times New Roman" w:hAnsi="Times New Roman"/>
        </w:rPr>
        <w:t xml:space="preserve">re de meilleure acuité ou </w:t>
      </w:r>
      <w:proofErr w:type="spellStart"/>
      <w:r>
        <w:rPr>
          <w:rFonts w:ascii="Times New Roman" w:hAnsi="Times New Roman"/>
        </w:rPr>
        <w:t>sph</w:t>
      </w:r>
      <w:proofErr w:type="spellEnd"/>
      <w:r>
        <w:rPr>
          <w:rFonts w:ascii="Times New Roman" w:hAnsi="Times New Roman"/>
          <w:lang w:val="it-IT"/>
        </w:rPr>
        <w:t>è</w:t>
      </w:r>
      <w:r>
        <w:rPr>
          <w:rFonts w:ascii="Times New Roman" w:hAnsi="Times New Roman"/>
        </w:rPr>
        <w:t xml:space="preserve">re au palier) ou de son équivalent sphérique </w:t>
      </w:r>
    </w:p>
    <w:p w14:paraId="12F91430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-Dans la recherche directe d</w:t>
      </w:r>
      <w:r>
        <w:rPr>
          <w:rFonts w:ascii="Times New Roman" w:hAnsi="Times New Roman"/>
          <w:rtl/>
        </w:rPr>
        <w:t>’</w:t>
      </w:r>
      <w:r>
        <w:rPr>
          <w:rFonts w:ascii="Times New Roman" w:hAnsi="Times New Roman"/>
        </w:rPr>
        <w:t xml:space="preserve">une compensation cylindrique : présenter le CCR dans les 2x2 positions qui conviennent </w:t>
      </w:r>
    </w:p>
    <w:p w14:paraId="788838CB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justifier les pr</w:t>
      </w:r>
      <w:r>
        <w:rPr>
          <w:rFonts w:ascii="Times New Roman" w:hAnsi="Times New Roman"/>
        </w:rPr>
        <w:t xml:space="preserve">éférences par la proximité des axes du </w:t>
      </w:r>
      <w:proofErr w:type="spellStart"/>
      <w:r>
        <w:rPr>
          <w:rFonts w:ascii="Times New Roman" w:hAnsi="Times New Roman"/>
        </w:rPr>
        <w:t>cyl</w:t>
      </w:r>
      <w:proofErr w:type="spellEnd"/>
      <w:r>
        <w:rPr>
          <w:rFonts w:ascii="Times New Roman" w:hAnsi="Times New Roman"/>
        </w:rPr>
        <w:t xml:space="preserve"> &lt;0 du CCR / l</w:t>
      </w:r>
      <w:r>
        <w:rPr>
          <w:rFonts w:ascii="Times New Roman" w:hAnsi="Times New Roman"/>
          <w:rtl/>
        </w:rPr>
        <w:t>’</w:t>
      </w:r>
      <w:r w:rsidRPr="003C0313">
        <w:rPr>
          <w:rFonts w:ascii="Times New Roman" w:hAnsi="Times New Roman"/>
        </w:rPr>
        <w:t xml:space="preserve">axe exact </w:t>
      </w:r>
    </w:p>
    <w:p w14:paraId="1CF7CF44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justifier une pr</w:t>
      </w:r>
      <w:r>
        <w:rPr>
          <w:rFonts w:ascii="Times New Roman" w:hAnsi="Times New Roman"/>
        </w:rPr>
        <w:t xml:space="preserve">éférence par la détermination du défaut résultant dans chaque position </w:t>
      </w:r>
    </w:p>
    <w:p w14:paraId="69D71F92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localiser l</w:t>
      </w:r>
      <w:r>
        <w:rPr>
          <w:rFonts w:ascii="Times New Roman" w:hAnsi="Times New Roman"/>
          <w:rtl/>
        </w:rPr>
        <w:t>’</w:t>
      </w:r>
      <w:r>
        <w:rPr>
          <w:rFonts w:ascii="Times New Roman" w:hAnsi="Times New Roman"/>
        </w:rPr>
        <w:t xml:space="preserve">axe du </w:t>
      </w:r>
      <w:proofErr w:type="spellStart"/>
      <w:r>
        <w:rPr>
          <w:rFonts w:ascii="Times New Roman" w:hAnsi="Times New Roman"/>
        </w:rPr>
        <w:t>cyl</w:t>
      </w:r>
      <w:proofErr w:type="spellEnd"/>
      <w:r>
        <w:rPr>
          <w:rFonts w:ascii="Times New Roman" w:hAnsi="Times New Roman"/>
        </w:rPr>
        <w:t xml:space="preserve"> &lt; 0 compensateur dans un secteur de 45</w:t>
      </w:r>
      <w:r>
        <w:rPr>
          <w:rFonts w:ascii="Times New Roman" w:hAnsi="Times New Roman"/>
          <w:lang w:val="it-IT"/>
        </w:rPr>
        <w:t xml:space="preserve">° </w:t>
      </w:r>
    </w:p>
    <w:p w14:paraId="7CE302E5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-Dans la vérification de l</w:t>
      </w:r>
      <w:r>
        <w:rPr>
          <w:rFonts w:ascii="Times New Roman" w:hAnsi="Times New Roman"/>
          <w:rtl/>
        </w:rPr>
        <w:t>’</w:t>
      </w:r>
      <w:r>
        <w:rPr>
          <w:rFonts w:ascii="Times New Roman" w:hAnsi="Times New Roman"/>
        </w:rPr>
        <w:t>axe d</w:t>
      </w:r>
      <w:r>
        <w:rPr>
          <w:rFonts w:ascii="Times New Roman" w:hAnsi="Times New Roman"/>
          <w:rtl/>
        </w:rPr>
        <w:t>’</w:t>
      </w:r>
      <w:r>
        <w:rPr>
          <w:rFonts w:ascii="Times New Roman" w:hAnsi="Times New Roman"/>
        </w:rPr>
        <w:t xml:space="preserve">un verre astigmate, justifier la préférence en comparant, dans les 2 positions du CCR : </w:t>
      </w:r>
    </w:p>
    <w:p w14:paraId="2BF309BF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l</w:t>
      </w:r>
      <w:r>
        <w:rPr>
          <w:rFonts w:ascii="Times New Roman" w:hAnsi="Times New Roman"/>
        </w:rPr>
        <w:t>’écart d</w:t>
      </w:r>
      <w:r>
        <w:rPr>
          <w:rFonts w:ascii="Times New Roman" w:hAnsi="Times New Roman"/>
          <w:rtl/>
        </w:rPr>
        <w:t>’</w:t>
      </w:r>
      <w:r>
        <w:rPr>
          <w:rFonts w:ascii="Times New Roman" w:hAnsi="Times New Roman"/>
        </w:rPr>
        <w:t>axe entre l</w:t>
      </w:r>
      <w:r>
        <w:rPr>
          <w:rFonts w:ascii="Times New Roman" w:hAnsi="Times New Roman"/>
          <w:rtl/>
        </w:rPr>
        <w:t>’</w:t>
      </w:r>
      <w:r>
        <w:rPr>
          <w:rFonts w:ascii="Times New Roman" w:hAnsi="Times New Roman"/>
        </w:rPr>
        <w:t xml:space="preserve">axe du </w:t>
      </w:r>
      <w:proofErr w:type="spellStart"/>
      <w:r>
        <w:rPr>
          <w:rFonts w:ascii="Times New Roman" w:hAnsi="Times New Roman"/>
        </w:rPr>
        <w:t>cyl</w:t>
      </w:r>
      <w:proofErr w:type="spellEnd"/>
      <w:r>
        <w:rPr>
          <w:rFonts w:ascii="Times New Roman" w:hAnsi="Times New Roman"/>
        </w:rPr>
        <w:t xml:space="preserve"> &lt; 0 du CCR et l</w:t>
      </w:r>
      <w:r>
        <w:rPr>
          <w:rFonts w:ascii="Times New Roman" w:hAnsi="Times New Roman"/>
          <w:rtl/>
        </w:rPr>
        <w:t>’</w:t>
      </w:r>
      <w:r>
        <w:rPr>
          <w:rFonts w:ascii="Times New Roman" w:hAnsi="Times New Roman"/>
        </w:rPr>
        <w:t xml:space="preserve">axe du </w:t>
      </w:r>
      <w:proofErr w:type="spellStart"/>
      <w:r>
        <w:rPr>
          <w:rFonts w:ascii="Times New Roman" w:hAnsi="Times New Roman"/>
        </w:rPr>
        <w:t>cyl</w:t>
      </w:r>
      <w:proofErr w:type="spellEnd"/>
      <w:r>
        <w:rPr>
          <w:rFonts w:ascii="Times New Roman" w:hAnsi="Times New Roman"/>
        </w:rPr>
        <w:t xml:space="preserve"> &lt; 0 du compensateur exact </w:t>
      </w:r>
    </w:p>
    <w:p w14:paraId="25C9B649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Style w:val="Aucun"/>
          <w:rFonts w:ascii="Wingdings" w:eastAsia="Wingdings" w:hAnsi="Wingdings" w:cs="Wingdings"/>
        </w:rPr>
        <w:tab/>
      </w:r>
      <w:r>
        <w:rPr>
          <w:rFonts w:ascii="Times New Roman" w:hAnsi="Times New Roman"/>
        </w:rPr>
        <w:t>l’écart d</w:t>
      </w:r>
      <w:r>
        <w:rPr>
          <w:rFonts w:ascii="Times New Roman" w:hAnsi="Times New Roman"/>
          <w:rtl/>
        </w:rPr>
        <w:t>’</w:t>
      </w:r>
      <w:r>
        <w:rPr>
          <w:rFonts w:ascii="Times New Roman" w:hAnsi="Times New Roman"/>
        </w:rPr>
        <w:t>axe avec l</w:t>
      </w:r>
      <w:r>
        <w:rPr>
          <w:rFonts w:ascii="Times New Roman" w:hAnsi="Times New Roman"/>
          <w:rtl/>
        </w:rPr>
        <w:t>’</w:t>
      </w:r>
      <w:r>
        <w:rPr>
          <w:rFonts w:ascii="Times New Roman" w:hAnsi="Times New Roman"/>
        </w:rPr>
        <w:t xml:space="preserve">axe exact </w:t>
      </w:r>
      <w:proofErr w:type="spellStart"/>
      <w:r>
        <w:rPr>
          <w:rFonts w:ascii="Times New Roman" w:hAnsi="Times New Roman"/>
        </w:rPr>
        <w:t>apr</w:t>
      </w:r>
      <w:proofErr w:type="spellEnd"/>
      <w:r>
        <w:rPr>
          <w:rFonts w:ascii="Times New Roman" w:hAnsi="Times New Roman"/>
          <w:lang w:val="it-IT"/>
        </w:rPr>
        <w:t>è</w:t>
      </w:r>
      <w:r>
        <w:rPr>
          <w:rFonts w:ascii="Times New Roman" w:hAnsi="Times New Roman"/>
        </w:rPr>
        <w:t>s détermination des formules de l</w:t>
      </w:r>
      <w:r>
        <w:rPr>
          <w:rFonts w:ascii="Times New Roman" w:hAnsi="Times New Roman"/>
          <w:rtl/>
        </w:rPr>
        <w:t>’</w:t>
      </w:r>
      <w:r>
        <w:rPr>
          <w:rFonts w:ascii="Times New Roman" w:hAnsi="Times New Roman"/>
        </w:rPr>
        <w:t xml:space="preserve">ensemble des verres portés (verre à vérifier + CCR) </w:t>
      </w:r>
    </w:p>
    <w:p w14:paraId="4662D673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Style w:val="Aucun"/>
          <w:rFonts w:ascii="Wingdings" w:eastAsia="Wingdings" w:hAnsi="Wingdings" w:cs="Wingdings"/>
        </w:rPr>
        <w:tab/>
      </w:r>
      <w:r>
        <w:rPr>
          <w:rFonts w:ascii="Times New Roman" w:hAnsi="Times New Roman"/>
          <w:lang w:val="es-ES_tradnl"/>
        </w:rPr>
        <w:t xml:space="preserve">les </w:t>
      </w:r>
      <w:proofErr w:type="spellStart"/>
      <w:r>
        <w:rPr>
          <w:rFonts w:ascii="Times New Roman" w:hAnsi="Times New Roman"/>
          <w:lang w:val="es-ES_tradnl"/>
        </w:rPr>
        <w:t>acuit</w:t>
      </w:r>
      <w:r>
        <w:rPr>
          <w:rFonts w:ascii="Times New Roman" w:hAnsi="Times New Roman"/>
        </w:rPr>
        <w:t>és</w:t>
      </w:r>
      <w:proofErr w:type="spellEnd"/>
      <w:r>
        <w:rPr>
          <w:rFonts w:ascii="Times New Roman" w:hAnsi="Times New Roman"/>
        </w:rPr>
        <w:t xml:space="preserve"> visuelles </w:t>
      </w:r>
      <w:proofErr w:type="spellStart"/>
      <w:r>
        <w:rPr>
          <w:rFonts w:ascii="Times New Roman" w:hAnsi="Times New Roman"/>
        </w:rPr>
        <w:t>apr</w:t>
      </w:r>
      <w:proofErr w:type="spellEnd"/>
      <w:r>
        <w:rPr>
          <w:rFonts w:ascii="Times New Roman" w:hAnsi="Times New Roman"/>
          <w:lang w:val="it-IT"/>
        </w:rPr>
        <w:t>è</w:t>
      </w:r>
      <w:r>
        <w:rPr>
          <w:rFonts w:ascii="Times New Roman" w:hAnsi="Times New Roman"/>
        </w:rPr>
        <w:t xml:space="preserve">s détermination du défaut résultant ou de la réfraction complémentaire </w:t>
      </w:r>
    </w:p>
    <w:p w14:paraId="58C9E200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Style w:val="Aucun"/>
          <w:rFonts w:ascii="Arial Narrow" w:hAnsi="Arial Narrow"/>
          <w:lang w:val="ru-RU"/>
        </w:rPr>
        <w:t xml:space="preserve">- </w:t>
      </w:r>
      <w:r>
        <w:rPr>
          <w:rFonts w:ascii="Times New Roman" w:hAnsi="Times New Roman"/>
        </w:rPr>
        <w:t>Dans la vérification de la valeur du cylindre, justifier la préférence en comparant dans les 2 pos</w:t>
      </w:r>
      <w:r>
        <w:rPr>
          <w:rFonts w:ascii="Times New Roman" w:hAnsi="Times New Roman"/>
          <w:lang w:val="it-IT"/>
        </w:rPr>
        <w:t xml:space="preserve">° </w:t>
      </w:r>
      <w:r>
        <w:rPr>
          <w:rFonts w:ascii="Times New Roman" w:hAnsi="Times New Roman"/>
        </w:rPr>
        <w:t xml:space="preserve">du CCR : </w:t>
      </w:r>
    </w:p>
    <w:p w14:paraId="53F00D3D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Style w:val="Aucun"/>
          <w:rFonts w:ascii="Wingdings" w:eastAsia="Wingdings" w:hAnsi="Wingdings" w:cs="Wingdings"/>
        </w:rPr>
        <w:tab/>
      </w:r>
      <w:r>
        <w:rPr>
          <w:rFonts w:ascii="Times New Roman" w:hAnsi="Times New Roman"/>
        </w:rPr>
        <w:t xml:space="preserve">la valeur du cylindre porté dans les 2 positions du CCR </w:t>
      </w:r>
    </w:p>
    <w:p w14:paraId="3B38C4F0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Style w:val="Aucun"/>
          <w:rFonts w:ascii="Wingdings" w:eastAsia="Wingdings" w:hAnsi="Wingdings" w:cs="Wingdings"/>
        </w:rPr>
        <w:tab/>
      </w:r>
      <w:r>
        <w:rPr>
          <w:rFonts w:ascii="Times New Roman" w:hAnsi="Times New Roman"/>
          <w:lang w:val="es-ES_tradnl"/>
        </w:rPr>
        <w:t xml:space="preserve">les </w:t>
      </w:r>
      <w:proofErr w:type="spellStart"/>
      <w:r>
        <w:rPr>
          <w:rFonts w:ascii="Times New Roman" w:hAnsi="Times New Roman"/>
          <w:lang w:val="es-ES_tradnl"/>
        </w:rPr>
        <w:t>acuit</w:t>
      </w:r>
      <w:r>
        <w:rPr>
          <w:rFonts w:ascii="Times New Roman" w:hAnsi="Times New Roman"/>
        </w:rPr>
        <w:t>és</w:t>
      </w:r>
      <w:proofErr w:type="spellEnd"/>
      <w:r>
        <w:rPr>
          <w:rFonts w:ascii="Times New Roman" w:hAnsi="Times New Roman"/>
        </w:rPr>
        <w:t xml:space="preserve"> visuelles </w:t>
      </w:r>
      <w:proofErr w:type="spellStart"/>
      <w:r>
        <w:rPr>
          <w:rFonts w:ascii="Times New Roman" w:hAnsi="Times New Roman"/>
        </w:rPr>
        <w:t>apr</w:t>
      </w:r>
      <w:proofErr w:type="spellEnd"/>
      <w:r>
        <w:rPr>
          <w:rFonts w:ascii="Times New Roman" w:hAnsi="Times New Roman"/>
          <w:lang w:val="it-IT"/>
        </w:rPr>
        <w:t>è</w:t>
      </w:r>
      <w:r>
        <w:rPr>
          <w:rFonts w:ascii="Times New Roman" w:hAnsi="Times New Roman"/>
        </w:rPr>
        <w:t xml:space="preserve">s détermination du défaut résultant ou de la réfraction complémentaire </w:t>
      </w:r>
    </w:p>
    <w:p w14:paraId="0BE7F49F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Style w:val="Aucun"/>
          <w:rFonts w:ascii="Arial Narrow" w:hAnsi="Arial Narrow"/>
          <w:lang w:val="ru-RU"/>
        </w:rPr>
        <w:t xml:space="preserve">- </w:t>
      </w:r>
      <w:r>
        <w:rPr>
          <w:rFonts w:ascii="Times New Roman" w:hAnsi="Times New Roman"/>
        </w:rPr>
        <w:t>Prendre en compte l’équivalent sphérique d</w:t>
      </w:r>
      <w:r>
        <w:rPr>
          <w:rFonts w:ascii="Times New Roman" w:hAnsi="Times New Roman"/>
          <w:rtl/>
        </w:rPr>
        <w:t>’</w:t>
      </w:r>
      <w:r>
        <w:rPr>
          <w:rFonts w:ascii="Times New Roman" w:hAnsi="Times New Roman"/>
        </w:rPr>
        <w:t xml:space="preserve">un cylindre, en déduire les modifications de </w:t>
      </w:r>
      <w:proofErr w:type="spellStart"/>
      <w:r>
        <w:rPr>
          <w:rFonts w:ascii="Times New Roman" w:hAnsi="Times New Roman"/>
        </w:rPr>
        <w:t>sph</w:t>
      </w:r>
      <w:proofErr w:type="spellEnd"/>
      <w:r>
        <w:rPr>
          <w:rFonts w:ascii="Times New Roman" w:hAnsi="Times New Roman"/>
          <w:lang w:val="it-IT"/>
        </w:rPr>
        <w:t>è</w:t>
      </w:r>
      <w:r>
        <w:rPr>
          <w:rFonts w:ascii="Times New Roman" w:hAnsi="Times New Roman"/>
        </w:rPr>
        <w:t xml:space="preserve">re nécessaires au maintien du CMD sur la rétine </w:t>
      </w:r>
    </w:p>
    <w:p w14:paraId="5CA02B89" w14:textId="77777777" w:rsidR="00935A80" w:rsidRDefault="00000000">
      <w:pPr>
        <w:pStyle w:val="Formatlibre"/>
        <w:rPr>
          <w:rFonts w:ascii="Times New Roman" w:eastAsia="Times New Roman" w:hAnsi="Times New Roman" w:cs="Times New Roman"/>
        </w:rPr>
      </w:pPr>
      <w:r>
        <w:rPr>
          <w:rStyle w:val="Aucun"/>
          <w:rFonts w:ascii="Arial Narrow" w:hAnsi="Arial Narrow"/>
          <w:lang w:val="ru-RU"/>
        </w:rPr>
        <w:t xml:space="preserve">- </w:t>
      </w:r>
      <w:r>
        <w:rPr>
          <w:rFonts w:ascii="Times New Roman" w:hAnsi="Times New Roman"/>
        </w:rPr>
        <w:t xml:space="preserve">Justifier les modifications à apporter à une compensation </w:t>
      </w:r>
      <w:proofErr w:type="spellStart"/>
      <w:r>
        <w:rPr>
          <w:rFonts w:ascii="Times New Roman" w:hAnsi="Times New Roman"/>
        </w:rPr>
        <w:t>sphéro</w:t>
      </w:r>
      <w:proofErr w:type="spellEnd"/>
      <w:r>
        <w:rPr>
          <w:rFonts w:ascii="Times New Roman" w:hAnsi="Times New Roman"/>
        </w:rPr>
        <w:t xml:space="preserve">-cylindrique : axe et valeur du </w:t>
      </w:r>
      <w:proofErr w:type="spellStart"/>
      <w:r>
        <w:rPr>
          <w:rFonts w:ascii="Times New Roman" w:hAnsi="Times New Roman"/>
        </w:rPr>
        <w:t>cyl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sph</w:t>
      </w:r>
      <w:proofErr w:type="spellEnd"/>
      <w:r>
        <w:rPr>
          <w:rFonts w:ascii="Times New Roman" w:hAnsi="Times New Roman"/>
          <w:lang w:val="it-IT"/>
        </w:rPr>
        <w:t>è</w:t>
      </w:r>
      <w:r>
        <w:rPr>
          <w:rFonts w:ascii="Times New Roman" w:hAnsi="Times New Roman"/>
        </w:rPr>
        <w:t xml:space="preserve">re </w:t>
      </w:r>
    </w:p>
    <w:p w14:paraId="07B31452" w14:textId="77777777" w:rsidR="00935A80" w:rsidRDefault="00935A80">
      <w:pPr>
        <w:pStyle w:val="Formatlibre"/>
        <w:rPr>
          <w:rFonts w:ascii="Times New Roman" w:eastAsia="Times New Roman" w:hAnsi="Times New Roman" w:cs="Times New Roman"/>
        </w:rPr>
      </w:pPr>
    </w:p>
    <w:p w14:paraId="7C1F3054" w14:textId="77777777" w:rsidR="00935A80" w:rsidRDefault="00000000">
      <w:pPr>
        <w:pStyle w:val="Formatlibre"/>
      </w:pPr>
      <w:r>
        <w:rPr>
          <w:rStyle w:val="Aucun"/>
          <w:rFonts w:ascii="Arial" w:hAnsi="Arial"/>
          <w:b/>
          <w:bCs/>
        </w:rPr>
        <w:t>Bibliographie</w:t>
      </w:r>
      <w:r>
        <w:rPr>
          <w:rStyle w:val="Aucun"/>
          <w:rFonts w:ascii="Times New Roman" w:hAnsi="Times New Roman"/>
          <w:b/>
          <w:bCs/>
        </w:rPr>
        <w:t xml:space="preserve"> :</w:t>
      </w:r>
      <w:r>
        <w:rPr>
          <w:rFonts w:ascii="Times New Roman" w:hAnsi="Times New Roman"/>
        </w:rPr>
        <w:t xml:space="preserve"> Jean-Charles </w:t>
      </w:r>
      <w:proofErr w:type="spellStart"/>
      <w:r>
        <w:rPr>
          <w:rFonts w:ascii="Times New Roman" w:hAnsi="Times New Roman"/>
        </w:rPr>
        <w:t>Allary</w:t>
      </w:r>
      <w:proofErr w:type="spellEnd"/>
      <w:r>
        <w:rPr>
          <w:rFonts w:ascii="Times New Roman" w:hAnsi="Times New Roman"/>
        </w:rPr>
        <w:t xml:space="preserve"> , Réfraction oculaire et vision binoculaire, éditions Lavoisier.</w:t>
      </w:r>
    </w:p>
    <w:sectPr w:rsidR="00935A80">
      <w:headerReference w:type="default" r:id="rId11"/>
      <w:footerReference w:type="default" r:id="rId12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1C020F" w14:textId="77777777" w:rsidR="00E76E41" w:rsidRDefault="00E76E41">
      <w:r>
        <w:separator/>
      </w:r>
    </w:p>
  </w:endnote>
  <w:endnote w:type="continuationSeparator" w:id="0">
    <w:p w14:paraId="514DE6B0" w14:textId="77777777" w:rsidR="00E76E41" w:rsidRDefault="00E76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A080AE" w14:textId="77777777" w:rsidR="00935A80" w:rsidRDefault="00935A80">
    <w:pPr>
      <w:pStyle w:val="En-tteetbas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8B2F8F" w14:textId="77777777" w:rsidR="00E76E41" w:rsidRDefault="00E76E41">
      <w:r>
        <w:separator/>
      </w:r>
    </w:p>
  </w:footnote>
  <w:footnote w:type="continuationSeparator" w:id="0">
    <w:p w14:paraId="59BCFBC0" w14:textId="77777777" w:rsidR="00E76E41" w:rsidRDefault="00E76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ED398" w14:textId="77777777" w:rsidR="00935A80" w:rsidRDefault="00935A80">
    <w:pPr>
      <w:pStyle w:val="En-tteetbasdepag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BB4B6D"/>
    <w:multiLevelType w:val="hybridMultilevel"/>
    <w:tmpl w:val="9EB62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9581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A80"/>
    <w:rsid w:val="00312E1D"/>
    <w:rsid w:val="003C0313"/>
    <w:rsid w:val="00935A80"/>
    <w:rsid w:val="00E7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31436"/>
  <w15:docId w15:val="{57D151F8-3FAD-41D5-BBAB-068C5C437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pPr>
      <w:tabs>
        <w:tab w:val="right" w:pos="9632"/>
      </w:tabs>
    </w:pPr>
    <w:rPr>
      <w:rFonts w:ascii="Helvetica" w:hAnsi="Helvetica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Formatlibre">
    <w:name w:val="Format libre"/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538</Words>
  <Characters>2964</Characters>
  <DocSecurity>0</DocSecurity>
  <Lines>24</Lines>
  <Paragraphs>6</Paragraphs>
  <ScaleCrop>false</ScaleCrop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2024-06-12T14:01:00Z</dcterms:created>
  <dcterms:modified xsi:type="dcterms:W3CDTF">2024-06-12T14:04:00Z</dcterms:modified>
</cp:coreProperties>
</file>