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EFB7" w14:textId="471ACE29" w:rsidR="004402D1" w:rsidRDefault="00330F97">
      <w:pPr>
        <w:spacing w:after="14" w:line="438" w:lineRule="auto"/>
        <w:ind w:left="77" w:right="311" w:firstLine="0"/>
      </w:pPr>
      <w:r>
        <w:rPr>
          <w:i/>
          <w:sz w:val="20"/>
        </w:rPr>
        <w:t xml:space="preserve">Co-enseignement            </w:t>
      </w:r>
      <w:r>
        <w:rPr>
          <w:b/>
          <w:i/>
          <w:sz w:val="20"/>
        </w:rPr>
        <w:t xml:space="preserve">Activité : </w:t>
      </w:r>
      <w:r w:rsidR="00666769">
        <w:rPr>
          <w:b/>
          <w:i/>
          <w:sz w:val="20"/>
        </w:rPr>
        <w:t xml:space="preserve">Efficacité Energétique </w:t>
      </w:r>
      <w:r>
        <w:rPr>
          <w:b/>
          <w:i/>
          <w:sz w:val="20"/>
        </w:rPr>
        <w:t xml:space="preserve">                                 MSP1   </w:t>
      </w:r>
      <w:r>
        <w:rPr>
          <w:i/>
          <w:sz w:val="20"/>
        </w:rPr>
        <w:t xml:space="preserve"> </w:t>
      </w:r>
      <w:r>
        <w:t xml:space="preserve"> </w:t>
      </w:r>
    </w:p>
    <w:p w14:paraId="145589EE" w14:textId="77777777" w:rsidR="001E47DC" w:rsidRDefault="001E47DC">
      <w:pPr>
        <w:spacing w:after="14" w:line="438" w:lineRule="auto"/>
        <w:ind w:left="77" w:right="311" w:firstLine="0"/>
      </w:pPr>
    </w:p>
    <w:p w14:paraId="2767A908" w14:textId="2DB48C26" w:rsidR="001E47DC" w:rsidRDefault="001E47DC" w:rsidP="001E47DC">
      <w:pPr>
        <w:jc w:val="both"/>
        <w:rPr>
          <w:rFonts w:cstheme="minorHAnsi"/>
        </w:rPr>
      </w:pPr>
      <w:r w:rsidRPr="00A92806">
        <w:rPr>
          <w:rFonts w:cstheme="minorHAnsi"/>
          <w:b/>
          <w:bCs/>
          <w:u w:val="single"/>
        </w:rPr>
        <w:t>Problématique :</w:t>
      </w:r>
      <w:r w:rsidRPr="0036454E">
        <w:rPr>
          <w:rFonts w:cstheme="minorHAnsi"/>
        </w:rPr>
        <w:t xml:space="preserve"> effectuer une activité de maintenance préventive sur </w:t>
      </w:r>
      <w:r>
        <w:rPr>
          <w:rFonts w:cstheme="minorHAnsi"/>
        </w:rPr>
        <w:t>une installation électrique afin de vérifier ses performances énergétiques.</w:t>
      </w:r>
    </w:p>
    <w:p w14:paraId="4ECC4E3B" w14:textId="0271584A" w:rsidR="001E47DC" w:rsidRDefault="001E47DC" w:rsidP="001E47DC">
      <w:pPr>
        <w:jc w:val="both"/>
        <w:rPr>
          <w:rFonts w:cstheme="minorHAnsi"/>
        </w:rPr>
      </w:pPr>
      <w:r w:rsidRPr="007F6E10">
        <w:rPr>
          <w:rFonts w:cstheme="minorHAnsi"/>
          <w:b/>
          <w:bCs/>
        </w:rPr>
        <w:t>Module maintenance préventive (M)</w:t>
      </w:r>
      <w:r>
        <w:rPr>
          <w:rFonts w:cstheme="minorHAnsi"/>
        </w:rPr>
        <w:t xml:space="preserve"> </w:t>
      </w:r>
      <w:r w:rsidRPr="0093387E">
        <w:rPr>
          <w:rFonts w:cstheme="minorHAnsi"/>
        </w:rPr>
        <w:t>C21 Analyser les risques,</w:t>
      </w:r>
      <w:r>
        <w:rPr>
          <w:rFonts w:cstheme="minorHAnsi"/>
        </w:rPr>
        <w:t xml:space="preserve"> </w:t>
      </w:r>
      <w:r w:rsidRPr="0093387E">
        <w:rPr>
          <w:rFonts w:cstheme="minorHAnsi"/>
        </w:rPr>
        <w:t>C22 Mettre en œuvre les mesures de préventions adaptées,</w:t>
      </w:r>
      <w:r>
        <w:rPr>
          <w:rFonts w:cstheme="minorHAnsi"/>
        </w:rPr>
        <w:t xml:space="preserve"> </w:t>
      </w:r>
      <w:r w:rsidRPr="0093387E">
        <w:rPr>
          <w:rFonts w:cstheme="minorHAnsi"/>
        </w:rPr>
        <w:t>C23 Réaliser des opérations de maintenance préventive</w:t>
      </w:r>
      <w:r>
        <w:rPr>
          <w:rFonts w:cstheme="minorHAnsi"/>
        </w:rPr>
        <w:t>.</w:t>
      </w:r>
    </w:p>
    <w:p w14:paraId="0EE1FB5D" w14:textId="77777777" w:rsidR="001E47DC" w:rsidRDefault="001E47DC" w:rsidP="001E47DC">
      <w:pPr>
        <w:jc w:val="both"/>
        <w:rPr>
          <w:rFonts w:cstheme="minorHAnsi"/>
        </w:rPr>
      </w:pPr>
      <w:r w:rsidRPr="007F6E10">
        <w:rPr>
          <w:rFonts w:cstheme="minorHAnsi"/>
          <w:b/>
          <w:bCs/>
        </w:rPr>
        <w:t>Savoirs Physique et Chimie :</w:t>
      </w:r>
      <w:r>
        <w:rPr>
          <w:rFonts w:cstheme="minorHAnsi"/>
        </w:rPr>
        <w:t xml:space="preserve"> S4.4 Conversion énergie électrique</w:t>
      </w:r>
      <w:r w:rsidRPr="008D66FE">
        <w:rPr>
          <w:rFonts w:cstheme="minorHAnsi"/>
        </w:rPr>
        <w:t>.</w:t>
      </w:r>
    </w:p>
    <w:p w14:paraId="6B1307B6" w14:textId="3C7FE893" w:rsidR="004402D1" w:rsidRDefault="00330F97">
      <w:pPr>
        <w:spacing w:after="257" w:line="259" w:lineRule="auto"/>
        <w:ind w:left="77" w:firstLine="0"/>
      </w:pPr>
      <w:r>
        <w:rPr>
          <w:i/>
          <w:u w:val="single" w:color="000000"/>
        </w:rPr>
        <w:t>Objectif</w:t>
      </w:r>
      <w:r>
        <w:t xml:space="preserve"> :  </w:t>
      </w:r>
    </w:p>
    <w:p w14:paraId="27444D92" w14:textId="2A4815A4" w:rsidR="00B679C4" w:rsidRDefault="00330F97" w:rsidP="00C73A8E">
      <w:r>
        <w:t xml:space="preserve">- </w:t>
      </w:r>
      <w:r>
        <w:tab/>
        <w:t>Mesurer</w:t>
      </w:r>
      <w:r w:rsidR="00666769">
        <w:t xml:space="preserve"> des puissances en alternatif</w:t>
      </w:r>
      <w:r w:rsidR="00807AAE">
        <w:t>.</w:t>
      </w:r>
      <w:r w:rsidR="00B657E7" w:rsidRPr="00B657E7">
        <w:t xml:space="preserve"> </w:t>
      </w:r>
    </w:p>
    <w:p w14:paraId="541BAEDA" w14:textId="757E4BF4" w:rsidR="004402D1" w:rsidRDefault="00B679C4" w:rsidP="00C73A8E">
      <w:r>
        <w:t>-</w:t>
      </w:r>
      <w:r>
        <w:tab/>
        <w:t xml:space="preserve">Utiliser </w:t>
      </w:r>
      <w:r w:rsidR="00330F97">
        <w:t>un</w:t>
      </w:r>
      <w:r w:rsidR="00807AAE">
        <w:t>e pince de puissance et choisir la mé</w:t>
      </w:r>
      <w:r w:rsidR="00726FA9">
        <w:t>thode de mesurage adapté</w:t>
      </w:r>
      <w:r w:rsidR="00A324B0">
        <w:t>e</w:t>
      </w:r>
      <w:r w:rsidR="00330F97">
        <w:t xml:space="preserve">. </w:t>
      </w:r>
    </w:p>
    <w:p w14:paraId="450FC407" w14:textId="77777777" w:rsidR="004402D1" w:rsidRDefault="00330F97">
      <w:pPr>
        <w:spacing w:after="220" w:line="259" w:lineRule="auto"/>
        <w:ind w:left="77" w:firstLine="0"/>
      </w:pPr>
      <w:r>
        <w:t xml:space="preserve"> </w:t>
      </w:r>
    </w:p>
    <w:p w14:paraId="08E00A6D" w14:textId="6F777477" w:rsidR="004402D1" w:rsidRDefault="0004129F" w:rsidP="00E83434">
      <w:pPr>
        <w:pStyle w:val="Titre1"/>
        <w:numPr>
          <w:ilvl w:val="0"/>
          <w:numId w:val="3"/>
        </w:numPr>
      </w:pPr>
      <w:r>
        <w:t xml:space="preserve">Identification d’une méthode de mesure pour répondre à la norme ISO </w:t>
      </w:r>
      <w:r w:rsidR="001E47DC">
        <w:t>50001</w:t>
      </w:r>
      <w:r w:rsidR="00B679C4">
        <w:t xml:space="preserve"> </w:t>
      </w:r>
    </w:p>
    <w:p w14:paraId="118EE72F" w14:textId="77777777" w:rsidR="001E47DC" w:rsidRDefault="00B657E7" w:rsidP="001E47DC">
      <w:pPr>
        <w:jc w:val="both"/>
        <w:rPr>
          <w:color w:val="auto"/>
          <w:shd w:val="clear" w:color="auto" w:fill="FFFFFF"/>
        </w:rPr>
      </w:pPr>
      <w:r w:rsidRPr="00B657E7">
        <w:rPr>
          <w:color w:val="auto"/>
          <w:shd w:val="clear" w:color="auto" w:fill="FFFFFF"/>
        </w:rPr>
        <w:t>Dans le cadre de la mise en œuvre de la norme ISO 50001, publiée le 15 juin 2011 par l'Organisation internationale de normalisation, est le fruit d’une collaboration entre 61 pays. Elle vise l’amélioration de la performance énergétique de toute organisation. Sa mise en place est donc une source d’économie énergétique potentielle pour les entreprises.</w:t>
      </w:r>
      <w:r w:rsidR="001E47DC">
        <w:rPr>
          <w:color w:val="auto"/>
          <w:shd w:val="clear" w:color="auto" w:fill="FFFFFF"/>
        </w:rPr>
        <w:t xml:space="preserve"> </w:t>
      </w:r>
    </w:p>
    <w:p w14:paraId="0FD562CC" w14:textId="2DA0EC1D" w:rsidR="00502F46" w:rsidRDefault="00502F46" w:rsidP="001E47DC">
      <w:pPr>
        <w:jc w:val="both"/>
      </w:pPr>
      <w:r>
        <w:t>Vous allez effectuer un bilan des puissances en utilisant la méthode de Boucherot</w:t>
      </w:r>
      <w:r w:rsidR="001E47DC">
        <w:t xml:space="preserve"> </w:t>
      </w:r>
      <w:r w:rsidR="00AA65C2">
        <w:t>(S² = P² + Q²)</w:t>
      </w:r>
      <w:r>
        <w:t>. Ce Bilan va s’effectuer sur chaque départ</w:t>
      </w:r>
      <w:r w:rsidR="00B20C1C">
        <w:t xml:space="preserve"> (Q10, Q2, Q3)</w:t>
      </w:r>
      <w:r>
        <w:t>.</w:t>
      </w:r>
    </w:p>
    <w:p w14:paraId="6E16B50C" w14:textId="494CA44F" w:rsidR="00502F46" w:rsidRDefault="00502F46" w:rsidP="00502F46">
      <w:r>
        <w:t>A partir d’un extrait du schéma de puissance, vous allez expliquer la méthode de mesure de puissance que vous allez effectuer pour chaque départ</w:t>
      </w:r>
      <w:r w:rsidR="0004129F">
        <w:t xml:space="preserve"> (système habilis)</w:t>
      </w:r>
      <w:r>
        <w:t>.</w:t>
      </w:r>
    </w:p>
    <w:p w14:paraId="2B6BB4D3" w14:textId="14AA7706" w:rsidR="00AA65C2" w:rsidRDefault="00502F46" w:rsidP="00502F46">
      <w:pPr>
        <w:spacing w:after="251" w:line="259" w:lineRule="auto"/>
        <w:ind w:left="77" w:right="-320" w:firstLine="0"/>
        <w:jc w:val="center"/>
      </w:pPr>
      <w:r w:rsidRPr="00502F46">
        <w:rPr>
          <w:noProof/>
        </w:rPr>
        <w:drawing>
          <wp:inline distT="0" distB="0" distL="0" distR="0" wp14:anchorId="37FF2930" wp14:editId="3B800721">
            <wp:extent cx="3492617" cy="5881799"/>
            <wp:effectExtent l="5715" t="0" r="0" b="0"/>
            <wp:docPr id="1490234086" name="Image 1" descr="Une image contenant diagramme, Dessin technique, Plan, schéma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34086" name="Image 1" descr="Une image contenant diagramme, Dessin technique, Plan, schématique&#10;&#10;Description générée automatiquement"/>
                    <pic:cNvPicPr/>
                  </pic:nvPicPr>
                  <pic:blipFill>
                    <a:blip r:embed="rId5"/>
                    <a:stretch>
                      <a:fillRect/>
                    </a:stretch>
                  </pic:blipFill>
                  <pic:spPr>
                    <a:xfrm rot="16200000">
                      <a:off x="0" y="0"/>
                      <a:ext cx="3499710" cy="5893745"/>
                    </a:xfrm>
                    <a:prstGeom prst="rect">
                      <a:avLst/>
                    </a:prstGeom>
                  </pic:spPr>
                </pic:pic>
              </a:graphicData>
            </a:graphic>
          </wp:inline>
        </w:drawing>
      </w:r>
    </w:p>
    <w:p w14:paraId="6AA4E211" w14:textId="77777777" w:rsidR="00AA65C2" w:rsidRDefault="00AA65C2">
      <w:pPr>
        <w:spacing w:after="160" w:line="278" w:lineRule="auto"/>
        <w:ind w:left="0" w:firstLine="0"/>
      </w:pPr>
      <w:r>
        <w:br w:type="page"/>
      </w:r>
    </w:p>
    <w:p w14:paraId="13252FE1" w14:textId="77777777" w:rsidR="004402D1" w:rsidRDefault="004402D1" w:rsidP="00502F46">
      <w:pPr>
        <w:spacing w:after="251" w:line="259" w:lineRule="auto"/>
        <w:ind w:left="77" w:right="-320" w:firstLine="0"/>
        <w:jc w:val="center"/>
      </w:pPr>
    </w:p>
    <w:p w14:paraId="640A1246" w14:textId="77777777" w:rsidR="00AA65C2" w:rsidRDefault="00AA65C2" w:rsidP="00AA65C2">
      <w:pPr>
        <w:jc w:val="center"/>
      </w:pPr>
      <w:r>
        <w:rPr>
          <w:noProof/>
        </w:rPr>
        <w:drawing>
          <wp:anchor distT="0" distB="0" distL="114300" distR="114300" simplePos="0" relativeHeight="251660288" behindDoc="1" locked="0" layoutInCell="1" allowOverlap="1" wp14:anchorId="673FEBC0" wp14:editId="1A4424CE">
            <wp:simplePos x="0" y="0"/>
            <wp:positionH relativeFrom="column">
              <wp:posOffset>4022090</wp:posOffset>
            </wp:positionH>
            <wp:positionV relativeFrom="paragraph">
              <wp:posOffset>233045</wp:posOffset>
            </wp:positionV>
            <wp:extent cx="2696210" cy="1172210"/>
            <wp:effectExtent l="0" t="0" r="8890" b="8890"/>
            <wp:wrapTight wrapText="bothSides">
              <wp:wrapPolygon edited="0">
                <wp:start x="0" y="0"/>
                <wp:lineTo x="0" y="21413"/>
                <wp:lineTo x="21519" y="21413"/>
                <wp:lineTo x="21519" y="0"/>
                <wp:lineTo x="0" y="0"/>
              </wp:wrapPolygon>
            </wp:wrapTight>
            <wp:docPr id="1129309659" name="Image 8"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09659" name="Image 8" descr="Une image contenant texte, ligne, Police, capture d’écra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21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344B692" wp14:editId="3E1CE0AC">
            <wp:simplePos x="0" y="0"/>
            <wp:positionH relativeFrom="column">
              <wp:posOffset>-104140</wp:posOffset>
            </wp:positionH>
            <wp:positionV relativeFrom="paragraph">
              <wp:posOffset>151765</wp:posOffset>
            </wp:positionV>
            <wp:extent cx="3954780" cy="1329690"/>
            <wp:effectExtent l="0" t="0" r="7620" b="3810"/>
            <wp:wrapTight wrapText="bothSides">
              <wp:wrapPolygon edited="0">
                <wp:start x="0" y="0"/>
                <wp:lineTo x="0" y="21352"/>
                <wp:lineTo x="21538" y="21352"/>
                <wp:lineTo x="21538" y="0"/>
                <wp:lineTo x="0" y="0"/>
              </wp:wrapPolygon>
            </wp:wrapTight>
            <wp:docPr id="1789861078" name="Image 7" descr="Une image contenant diagramme, ligne,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61078" name="Image 7" descr="Une image contenant diagramme, ligne, Police,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478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BEDDB" w14:textId="41E4AACF" w:rsidR="00AA65C2" w:rsidRPr="003055E9" w:rsidRDefault="00AA65C2" w:rsidP="00AA65C2">
      <w:pPr>
        <w:jc w:val="center"/>
      </w:pPr>
      <w:r>
        <w:rPr>
          <w:noProof/>
        </w:rPr>
        <w:drawing>
          <wp:inline distT="0" distB="0" distL="0" distR="0" wp14:anchorId="28C5E17F" wp14:editId="3F40927F">
            <wp:extent cx="5585460" cy="779367"/>
            <wp:effectExtent l="0" t="0" r="0" b="1905"/>
            <wp:docPr id="14409643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161" cy="786302"/>
                    </a:xfrm>
                    <a:prstGeom prst="rect">
                      <a:avLst/>
                    </a:prstGeom>
                    <a:noFill/>
                    <a:ln>
                      <a:noFill/>
                    </a:ln>
                  </pic:spPr>
                </pic:pic>
              </a:graphicData>
            </a:graphic>
          </wp:inline>
        </w:drawing>
      </w:r>
    </w:p>
    <w:p w14:paraId="04C62BC8" w14:textId="56FC13B6" w:rsidR="00AA65C2" w:rsidRDefault="001E47DC" w:rsidP="00502F46">
      <w:pPr>
        <w:spacing w:after="251" w:line="259" w:lineRule="auto"/>
        <w:ind w:left="77" w:right="-320" w:firstLine="0"/>
        <w:jc w:val="both"/>
      </w:pPr>
      <w:r>
        <w:t>Indiquer la m</w:t>
      </w:r>
      <w:r w:rsidR="00AA65C2">
        <w:t xml:space="preserve">éthode de mesure </w:t>
      </w:r>
      <w:r>
        <w:t>pour chaque départ.</w:t>
      </w:r>
    </w:p>
    <w:p w14:paraId="0E7FE7E5" w14:textId="3A69B80A" w:rsidR="00502F46" w:rsidRDefault="00502F46" w:rsidP="00502F46">
      <w:pPr>
        <w:spacing w:after="251" w:line="259" w:lineRule="auto"/>
        <w:ind w:left="77" w:right="-320" w:firstLine="0"/>
        <w:jc w:val="both"/>
      </w:pPr>
      <w:r>
        <w:t>Départ Q10 :</w:t>
      </w:r>
    </w:p>
    <w:p w14:paraId="07A7FE70" w14:textId="5484B45F" w:rsidR="00502F46" w:rsidRDefault="00502F46" w:rsidP="00502F46">
      <w:pPr>
        <w:spacing w:after="251" w:line="259" w:lineRule="auto"/>
        <w:ind w:left="77" w:right="-320" w:firstLine="0"/>
        <w:jc w:val="both"/>
      </w:pPr>
      <w:r>
        <w:t>Départ Q2 :</w:t>
      </w:r>
    </w:p>
    <w:p w14:paraId="57A3010D" w14:textId="485AD98D" w:rsidR="00502F46" w:rsidRDefault="00502F46" w:rsidP="00502F46">
      <w:pPr>
        <w:spacing w:after="251" w:line="259" w:lineRule="auto"/>
        <w:ind w:left="77" w:right="-320" w:firstLine="0"/>
        <w:jc w:val="both"/>
      </w:pPr>
      <w:r>
        <w:t>Départ Q3 :</w:t>
      </w:r>
    </w:p>
    <w:p w14:paraId="6360B71D" w14:textId="77777777" w:rsidR="00502F46" w:rsidRDefault="00502F46" w:rsidP="00502F46">
      <w:pPr>
        <w:spacing w:after="251" w:line="259" w:lineRule="auto"/>
        <w:ind w:left="77" w:right="-320" w:firstLine="0"/>
        <w:jc w:val="both"/>
      </w:pPr>
    </w:p>
    <w:p w14:paraId="556DA049" w14:textId="55031CE5" w:rsidR="004402D1" w:rsidRDefault="00330F97" w:rsidP="001E47DC">
      <w:pPr>
        <w:pStyle w:val="Titre1"/>
        <w:numPr>
          <w:ilvl w:val="0"/>
          <w:numId w:val="3"/>
        </w:numPr>
      </w:pPr>
      <w:r w:rsidRPr="00AA65C2">
        <w:t xml:space="preserve">Préparation </w:t>
      </w:r>
      <w:r w:rsidR="00AA65C2" w:rsidRPr="00AA65C2">
        <w:t>de la mesure</w:t>
      </w:r>
      <w:r>
        <w:rPr>
          <w:u w:val="none"/>
        </w:rPr>
        <w:t xml:space="preserve"> </w:t>
      </w:r>
    </w:p>
    <w:p w14:paraId="3010AEDE" w14:textId="15B451F3" w:rsidR="004402D1" w:rsidRDefault="00330F97" w:rsidP="00D32DB4">
      <w:pPr>
        <w:pStyle w:val="Paragraphedeliste"/>
        <w:numPr>
          <w:ilvl w:val="0"/>
          <w:numId w:val="1"/>
        </w:numPr>
        <w:spacing w:after="0"/>
      </w:pPr>
      <w:r>
        <w:t>Préciser l</w:t>
      </w:r>
      <w:r w:rsidR="00AA65C2">
        <w:t>e protocole de sécurité à mettre en œuvre pour effectuer cette intervention. (</w:t>
      </w:r>
      <w:r w:rsidR="00B20C1C">
        <w:t>Matériel</w:t>
      </w:r>
      <w:r w:rsidR="00AA65C2">
        <w:t>, EPI, EPC, votre niveau d’habilitation)</w:t>
      </w:r>
      <w:r>
        <w:t xml:space="preserve">. </w:t>
      </w:r>
    </w:p>
    <w:p w14:paraId="0B11353F" w14:textId="70E8C0E2" w:rsidR="004402D1" w:rsidRDefault="00AA65C2" w:rsidP="00D32DB4">
      <w:pPr>
        <w:pStyle w:val="Paragraphedeliste"/>
        <w:numPr>
          <w:ilvl w:val="0"/>
          <w:numId w:val="1"/>
        </w:numPr>
        <w:spacing w:after="0"/>
      </w:pPr>
      <w:r>
        <w:t>Effectuer le choix du matériel de mesurer entre deux pinces de puissance.</w:t>
      </w:r>
    </w:p>
    <w:p w14:paraId="2CEDF8F4" w14:textId="77777777" w:rsidR="00AA65C2" w:rsidRDefault="00AA65C2" w:rsidP="00AA65C2">
      <w:pPr>
        <w:spacing w:after="0"/>
      </w:pPr>
    </w:p>
    <w:p w14:paraId="373DE57D" w14:textId="7FC41927" w:rsidR="004402D1" w:rsidRDefault="00330F97" w:rsidP="0066674F">
      <w:pPr>
        <w:pStyle w:val="Titre1"/>
        <w:numPr>
          <w:ilvl w:val="0"/>
          <w:numId w:val="3"/>
        </w:numPr>
      </w:pPr>
      <w:r>
        <w:t xml:space="preserve">Mesure </w:t>
      </w:r>
      <w:r w:rsidR="00AA65C2">
        <w:t>et récapitulatif</w:t>
      </w:r>
    </w:p>
    <w:p w14:paraId="7C927A1E" w14:textId="647760C9" w:rsidR="00AA65C2" w:rsidRDefault="00AA65C2" w:rsidP="00AA65C2">
      <w:r>
        <w:t>Remplir le tableau de mesure et ensuite effectuer les calculs nécessaires</w:t>
      </w:r>
      <w:r w:rsidR="000849DD">
        <w:t>.</w:t>
      </w:r>
    </w:p>
    <w:tbl>
      <w:tblPr>
        <w:tblStyle w:val="Grilledutableau"/>
        <w:tblW w:w="0" w:type="auto"/>
        <w:tblInd w:w="447" w:type="dxa"/>
        <w:tblLook w:val="04A0" w:firstRow="1" w:lastRow="0" w:firstColumn="1" w:lastColumn="0" w:noHBand="0" w:noVBand="1"/>
      </w:tblPr>
      <w:tblGrid>
        <w:gridCol w:w="1700"/>
        <w:gridCol w:w="1656"/>
        <w:gridCol w:w="1681"/>
        <w:gridCol w:w="1657"/>
        <w:gridCol w:w="1657"/>
        <w:gridCol w:w="1652"/>
      </w:tblGrid>
      <w:tr w:rsidR="000849DD" w14:paraId="51012312" w14:textId="77777777" w:rsidTr="000849DD">
        <w:tc>
          <w:tcPr>
            <w:tcW w:w="1700" w:type="dxa"/>
          </w:tcPr>
          <w:p w14:paraId="2FB02093" w14:textId="0B30BEBA" w:rsidR="000849DD" w:rsidRDefault="000849DD" w:rsidP="000849DD">
            <w:pPr>
              <w:ind w:left="0" w:firstLine="0"/>
              <w:jc w:val="center"/>
            </w:pPr>
            <w:r>
              <w:t>Zone de mesure</w:t>
            </w:r>
          </w:p>
        </w:tc>
        <w:tc>
          <w:tcPr>
            <w:tcW w:w="1656" w:type="dxa"/>
          </w:tcPr>
          <w:p w14:paraId="12DE7A20" w14:textId="3883F350" w:rsidR="000849DD" w:rsidRDefault="000849DD" w:rsidP="000849DD">
            <w:pPr>
              <w:ind w:left="0" w:firstLine="0"/>
              <w:jc w:val="center"/>
            </w:pPr>
            <w:r>
              <w:t>Puissance W1</w:t>
            </w:r>
          </w:p>
        </w:tc>
        <w:tc>
          <w:tcPr>
            <w:tcW w:w="1681" w:type="dxa"/>
          </w:tcPr>
          <w:p w14:paraId="7BFFE57A" w14:textId="4563652D" w:rsidR="000849DD" w:rsidRDefault="000849DD" w:rsidP="000849DD">
            <w:pPr>
              <w:ind w:left="0" w:firstLine="0"/>
              <w:jc w:val="center"/>
            </w:pPr>
            <w:r>
              <w:t>Puissances W2</w:t>
            </w:r>
          </w:p>
        </w:tc>
        <w:tc>
          <w:tcPr>
            <w:tcW w:w="1657" w:type="dxa"/>
          </w:tcPr>
          <w:p w14:paraId="231380F1" w14:textId="767B68FF" w:rsidR="000849DD" w:rsidRDefault="000849DD" w:rsidP="000849DD">
            <w:pPr>
              <w:ind w:left="0" w:firstLine="0"/>
              <w:jc w:val="center"/>
            </w:pPr>
            <w:r>
              <w:t>Puissance Active</w:t>
            </w:r>
          </w:p>
        </w:tc>
        <w:tc>
          <w:tcPr>
            <w:tcW w:w="1657" w:type="dxa"/>
          </w:tcPr>
          <w:p w14:paraId="3E466EB3" w14:textId="00706877" w:rsidR="000849DD" w:rsidRDefault="000849DD" w:rsidP="000849DD">
            <w:pPr>
              <w:ind w:left="0" w:firstLine="0"/>
              <w:jc w:val="center"/>
            </w:pPr>
            <w:r>
              <w:t>Puissance Réactive</w:t>
            </w:r>
          </w:p>
        </w:tc>
        <w:tc>
          <w:tcPr>
            <w:tcW w:w="1652" w:type="dxa"/>
          </w:tcPr>
          <w:p w14:paraId="2F119801" w14:textId="4D4FD87B" w:rsidR="000849DD" w:rsidRDefault="000849DD" w:rsidP="000849DD">
            <w:pPr>
              <w:ind w:left="0" w:firstLine="0"/>
              <w:jc w:val="center"/>
            </w:pPr>
            <w:r>
              <w:t xml:space="preserve">Facteur de puissance cos </w:t>
            </w:r>
            <w:r>
              <w:sym w:font="SymbolProp BT" w:char="F066"/>
            </w:r>
          </w:p>
        </w:tc>
      </w:tr>
      <w:tr w:rsidR="000849DD" w14:paraId="0C66A31F" w14:textId="77777777" w:rsidTr="000849DD">
        <w:tc>
          <w:tcPr>
            <w:tcW w:w="1700" w:type="dxa"/>
          </w:tcPr>
          <w:p w14:paraId="33AB5909" w14:textId="0BBAB38D" w:rsidR="000849DD" w:rsidRDefault="000849DD" w:rsidP="000849DD">
            <w:pPr>
              <w:ind w:left="0" w:firstLine="0"/>
              <w:jc w:val="center"/>
            </w:pPr>
            <w:r>
              <w:t>Q10</w:t>
            </w:r>
          </w:p>
        </w:tc>
        <w:tc>
          <w:tcPr>
            <w:tcW w:w="1656" w:type="dxa"/>
          </w:tcPr>
          <w:p w14:paraId="4F836C89" w14:textId="77777777" w:rsidR="000849DD" w:rsidRDefault="000849DD" w:rsidP="000849DD">
            <w:pPr>
              <w:ind w:left="0" w:firstLine="0"/>
              <w:jc w:val="center"/>
            </w:pPr>
          </w:p>
        </w:tc>
        <w:tc>
          <w:tcPr>
            <w:tcW w:w="1681" w:type="dxa"/>
          </w:tcPr>
          <w:p w14:paraId="7FE79B6F" w14:textId="77777777" w:rsidR="000849DD" w:rsidRDefault="000849DD" w:rsidP="000849DD">
            <w:pPr>
              <w:ind w:left="0" w:firstLine="0"/>
              <w:jc w:val="center"/>
            </w:pPr>
          </w:p>
        </w:tc>
        <w:tc>
          <w:tcPr>
            <w:tcW w:w="1657" w:type="dxa"/>
          </w:tcPr>
          <w:p w14:paraId="7342DF17" w14:textId="77777777" w:rsidR="000849DD" w:rsidRDefault="000849DD" w:rsidP="000849DD">
            <w:pPr>
              <w:ind w:left="0" w:firstLine="0"/>
              <w:jc w:val="center"/>
            </w:pPr>
          </w:p>
        </w:tc>
        <w:tc>
          <w:tcPr>
            <w:tcW w:w="1657" w:type="dxa"/>
          </w:tcPr>
          <w:p w14:paraId="6775799A" w14:textId="77777777" w:rsidR="000849DD" w:rsidRDefault="000849DD" w:rsidP="000849DD">
            <w:pPr>
              <w:ind w:left="0" w:firstLine="0"/>
              <w:jc w:val="center"/>
            </w:pPr>
          </w:p>
        </w:tc>
        <w:tc>
          <w:tcPr>
            <w:tcW w:w="1652" w:type="dxa"/>
          </w:tcPr>
          <w:p w14:paraId="20C6F9B7" w14:textId="77777777" w:rsidR="000849DD" w:rsidRDefault="000849DD" w:rsidP="000849DD">
            <w:pPr>
              <w:ind w:left="0" w:firstLine="0"/>
              <w:jc w:val="center"/>
            </w:pPr>
          </w:p>
        </w:tc>
      </w:tr>
      <w:tr w:rsidR="000849DD" w14:paraId="28678AD8" w14:textId="77777777" w:rsidTr="000849DD">
        <w:tc>
          <w:tcPr>
            <w:tcW w:w="1700" w:type="dxa"/>
          </w:tcPr>
          <w:p w14:paraId="588C943B" w14:textId="161FC2C3" w:rsidR="000849DD" w:rsidRDefault="000849DD" w:rsidP="000849DD">
            <w:pPr>
              <w:ind w:left="0" w:firstLine="0"/>
              <w:jc w:val="center"/>
            </w:pPr>
            <w:r>
              <w:t>Q2</w:t>
            </w:r>
          </w:p>
        </w:tc>
        <w:tc>
          <w:tcPr>
            <w:tcW w:w="1656" w:type="dxa"/>
          </w:tcPr>
          <w:p w14:paraId="241F8F93" w14:textId="77777777" w:rsidR="000849DD" w:rsidRDefault="000849DD" w:rsidP="000849DD">
            <w:pPr>
              <w:ind w:left="0" w:firstLine="0"/>
              <w:jc w:val="center"/>
            </w:pPr>
          </w:p>
        </w:tc>
        <w:tc>
          <w:tcPr>
            <w:tcW w:w="1681" w:type="dxa"/>
          </w:tcPr>
          <w:p w14:paraId="69D3C2B5" w14:textId="77777777" w:rsidR="000849DD" w:rsidRDefault="000849DD" w:rsidP="000849DD">
            <w:pPr>
              <w:ind w:left="0" w:firstLine="0"/>
              <w:jc w:val="center"/>
            </w:pPr>
          </w:p>
        </w:tc>
        <w:tc>
          <w:tcPr>
            <w:tcW w:w="1657" w:type="dxa"/>
          </w:tcPr>
          <w:p w14:paraId="7BE17E74" w14:textId="77777777" w:rsidR="000849DD" w:rsidRDefault="000849DD" w:rsidP="000849DD">
            <w:pPr>
              <w:ind w:left="0" w:firstLine="0"/>
              <w:jc w:val="center"/>
            </w:pPr>
          </w:p>
        </w:tc>
        <w:tc>
          <w:tcPr>
            <w:tcW w:w="1657" w:type="dxa"/>
          </w:tcPr>
          <w:p w14:paraId="14BD2D24" w14:textId="77777777" w:rsidR="000849DD" w:rsidRDefault="000849DD" w:rsidP="000849DD">
            <w:pPr>
              <w:ind w:left="0" w:firstLine="0"/>
              <w:jc w:val="center"/>
            </w:pPr>
          </w:p>
        </w:tc>
        <w:tc>
          <w:tcPr>
            <w:tcW w:w="1652" w:type="dxa"/>
          </w:tcPr>
          <w:p w14:paraId="38798170" w14:textId="77777777" w:rsidR="000849DD" w:rsidRDefault="000849DD" w:rsidP="000849DD">
            <w:pPr>
              <w:ind w:left="0" w:firstLine="0"/>
              <w:jc w:val="center"/>
            </w:pPr>
          </w:p>
        </w:tc>
      </w:tr>
      <w:tr w:rsidR="000849DD" w14:paraId="43874BDE" w14:textId="77777777" w:rsidTr="000849DD">
        <w:tc>
          <w:tcPr>
            <w:tcW w:w="1700" w:type="dxa"/>
          </w:tcPr>
          <w:p w14:paraId="27463C30" w14:textId="410968A9" w:rsidR="000849DD" w:rsidRDefault="000849DD" w:rsidP="000849DD">
            <w:pPr>
              <w:ind w:left="0" w:firstLine="0"/>
              <w:jc w:val="center"/>
            </w:pPr>
            <w:r>
              <w:t>Q3</w:t>
            </w:r>
          </w:p>
        </w:tc>
        <w:tc>
          <w:tcPr>
            <w:tcW w:w="1656" w:type="dxa"/>
          </w:tcPr>
          <w:p w14:paraId="4C7FCE5C" w14:textId="77777777" w:rsidR="000849DD" w:rsidRDefault="000849DD" w:rsidP="000849DD">
            <w:pPr>
              <w:ind w:left="0" w:firstLine="0"/>
              <w:jc w:val="center"/>
            </w:pPr>
          </w:p>
        </w:tc>
        <w:tc>
          <w:tcPr>
            <w:tcW w:w="1681" w:type="dxa"/>
          </w:tcPr>
          <w:p w14:paraId="5E1C7FDA" w14:textId="77777777" w:rsidR="000849DD" w:rsidRDefault="000849DD" w:rsidP="000849DD">
            <w:pPr>
              <w:ind w:left="0" w:firstLine="0"/>
              <w:jc w:val="center"/>
            </w:pPr>
          </w:p>
        </w:tc>
        <w:tc>
          <w:tcPr>
            <w:tcW w:w="1657" w:type="dxa"/>
          </w:tcPr>
          <w:p w14:paraId="0661C5A3" w14:textId="77777777" w:rsidR="000849DD" w:rsidRDefault="000849DD" w:rsidP="000849DD">
            <w:pPr>
              <w:ind w:left="0" w:firstLine="0"/>
              <w:jc w:val="center"/>
            </w:pPr>
          </w:p>
        </w:tc>
        <w:tc>
          <w:tcPr>
            <w:tcW w:w="1657" w:type="dxa"/>
          </w:tcPr>
          <w:p w14:paraId="6FE79FDB" w14:textId="77777777" w:rsidR="000849DD" w:rsidRDefault="000849DD" w:rsidP="000849DD">
            <w:pPr>
              <w:ind w:left="0" w:firstLine="0"/>
              <w:jc w:val="center"/>
            </w:pPr>
          </w:p>
        </w:tc>
        <w:tc>
          <w:tcPr>
            <w:tcW w:w="1652" w:type="dxa"/>
          </w:tcPr>
          <w:p w14:paraId="23EC83C1" w14:textId="77777777" w:rsidR="000849DD" w:rsidRDefault="000849DD" w:rsidP="000849DD">
            <w:pPr>
              <w:ind w:left="0" w:firstLine="0"/>
              <w:jc w:val="center"/>
            </w:pPr>
          </w:p>
        </w:tc>
      </w:tr>
      <w:tr w:rsidR="000849DD" w14:paraId="5DC41707" w14:textId="77777777" w:rsidTr="000849DD">
        <w:tc>
          <w:tcPr>
            <w:tcW w:w="1700" w:type="dxa"/>
          </w:tcPr>
          <w:p w14:paraId="38766BCD" w14:textId="6661D663" w:rsidR="000849DD" w:rsidRDefault="000849DD" w:rsidP="000849DD">
            <w:pPr>
              <w:ind w:left="0" w:firstLine="0"/>
              <w:jc w:val="center"/>
            </w:pPr>
            <w:r>
              <w:t>Alimentation</w:t>
            </w:r>
          </w:p>
        </w:tc>
        <w:tc>
          <w:tcPr>
            <w:tcW w:w="1656" w:type="dxa"/>
          </w:tcPr>
          <w:p w14:paraId="32125D62" w14:textId="77777777" w:rsidR="000849DD" w:rsidRDefault="000849DD" w:rsidP="000849DD">
            <w:pPr>
              <w:ind w:left="0" w:firstLine="0"/>
              <w:jc w:val="center"/>
            </w:pPr>
          </w:p>
        </w:tc>
        <w:tc>
          <w:tcPr>
            <w:tcW w:w="1681" w:type="dxa"/>
          </w:tcPr>
          <w:p w14:paraId="05953E24" w14:textId="77777777" w:rsidR="000849DD" w:rsidRDefault="000849DD" w:rsidP="000849DD">
            <w:pPr>
              <w:ind w:left="0" w:firstLine="0"/>
              <w:jc w:val="center"/>
            </w:pPr>
          </w:p>
        </w:tc>
        <w:tc>
          <w:tcPr>
            <w:tcW w:w="1657" w:type="dxa"/>
          </w:tcPr>
          <w:p w14:paraId="497D8DC5" w14:textId="77777777" w:rsidR="000849DD" w:rsidRDefault="000849DD" w:rsidP="000849DD">
            <w:pPr>
              <w:ind w:left="0" w:firstLine="0"/>
              <w:jc w:val="center"/>
            </w:pPr>
          </w:p>
        </w:tc>
        <w:tc>
          <w:tcPr>
            <w:tcW w:w="1657" w:type="dxa"/>
          </w:tcPr>
          <w:p w14:paraId="70B49C39" w14:textId="77777777" w:rsidR="000849DD" w:rsidRDefault="000849DD" w:rsidP="000849DD">
            <w:pPr>
              <w:ind w:left="0" w:firstLine="0"/>
              <w:jc w:val="center"/>
            </w:pPr>
          </w:p>
        </w:tc>
        <w:tc>
          <w:tcPr>
            <w:tcW w:w="1652" w:type="dxa"/>
          </w:tcPr>
          <w:p w14:paraId="5BDA38DB" w14:textId="77777777" w:rsidR="000849DD" w:rsidRDefault="000849DD" w:rsidP="000849DD">
            <w:pPr>
              <w:ind w:left="0" w:firstLine="0"/>
              <w:jc w:val="center"/>
            </w:pPr>
          </w:p>
        </w:tc>
      </w:tr>
    </w:tbl>
    <w:p w14:paraId="07BCB928" w14:textId="1E5E534F" w:rsidR="000849DD" w:rsidRDefault="000849DD" w:rsidP="00AA65C2"/>
    <w:p w14:paraId="23AEB1A0" w14:textId="77777777" w:rsidR="000849DD" w:rsidRDefault="000849DD">
      <w:pPr>
        <w:spacing w:after="160" w:line="278" w:lineRule="auto"/>
        <w:ind w:left="0" w:firstLine="0"/>
      </w:pPr>
      <w:r>
        <w:br w:type="page"/>
      </w:r>
    </w:p>
    <w:p w14:paraId="2543353E" w14:textId="50D69ADD" w:rsidR="000849DD" w:rsidRDefault="000849DD" w:rsidP="001E47DC">
      <w:pPr>
        <w:pStyle w:val="Titre1"/>
        <w:numPr>
          <w:ilvl w:val="0"/>
          <w:numId w:val="3"/>
        </w:numPr>
      </w:pPr>
      <w:r>
        <w:lastRenderedPageBreak/>
        <w:t>Bilan des puissances et vérification du facteur de puissance</w:t>
      </w:r>
    </w:p>
    <w:p w14:paraId="1DA5A9B4" w14:textId="5907EE01" w:rsidR="000849DD" w:rsidRDefault="000849DD" w:rsidP="00AA65C2">
      <w:r>
        <w:t xml:space="preserve">Effectuer la somme des puissances actives = </w:t>
      </w:r>
      <w:r>
        <w:sym w:font="SymbolProp BT" w:char="F053"/>
      </w:r>
      <w:r>
        <w:t xml:space="preserve">P et la somme des puissances réactives = </w:t>
      </w:r>
      <w:r>
        <w:sym w:font="SymbolProp BT" w:char="F053"/>
      </w:r>
      <w:r>
        <w:t>Q.</w:t>
      </w:r>
    </w:p>
    <w:p w14:paraId="0C135C49" w14:textId="336CA7DF" w:rsidR="000849DD" w:rsidRDefault="000849DD" w:rsidP="00AA65C2">
      <w:r>
        <w:t xml:space="preserve">Calculer la puissance apparente S = </w:t>
      </w:r>
      <w:r>
        <w:sym w:font="SymbolProp BT" w:char="F0D6"/>
      </w:r>
      <w:r>
        <w:sym w:font="SymbolProp BT" w:char="F053"/>
      </w:r>
      <w:r>
        <w:t xml:space="preserve">P² + </w:t>
      </w:r>
      <w:r>
        <w:sym w:font="SymbolProp BT" w:char="F053"/>
      </w:r>
      <w:r>
        <w:t>Q²</w:t>
      </w:r>
    </w:p>
    <w:p w14:paraId="083E2017" w14:textId="1E452438" w:rsidR="000849DD" w:rsidRDefault="000849DD" w:rsidP="00AA65C2">
      <w:r>
        <w:t>Calculer la valeur du facteur de puissance FP = cos</w:t>
      </w:r>
      <w:r>
        <w:sym w:font="SymbolProp BT" w:char="F066"/>
      </w:r>
      <w:r>
        <w:t xml:space="preserve"> = </w:t>
      </w:r>
      <m:oMath>
        <m:f>
          <m:fPr>
            <m:ctrlPr>
              <w:rPr>
                <w:rFonts w:ascii="Cambria Math" w:hAnsi="Cambria Math"/>
                <w:i/>
              </w:rPr>
            </m:ctrlPr>
          </m:fPr>
          <m:num>
            <m:r>
              <w:rPr>
                <w:rFonts w:ascii="Cambria Math" w:hAnsi="Cambria Math"/>
              </w:rPr>
              <m:t>P</m:t>
            </m:r>
          </m:num>
          <m:den>
            <m:r>
              <w:rPr>
                <w:rFonts w:ascii="Cambria Math" w:hAnsi="Cambria Math"/>
              </w:rPr>
              <m:t>S</m:t>
            </m:r>
          </m:den>
        </m:f>
      </m:oMath>
    </w:p>
    <w:p w14:paraId="1933E446" w14:textId="45084DED" w:rsidR="000849DD" w:rsidRDefault="000849DD" w:rsidP="00B657E7">
      <w:pPr>
        <w:jc w:val="both"/>
      </w:pPr>
      <w:r>
        <w:t xml:space="preserve">Le fournisseur d’énergie impose un FP &gt; 0.95, sinon vous êtes sujet à une pénalité sur votre facture, tout comme les dépassements de puissances. Cette pénalité est un pourcentage </w:t>
      </w:r>
      <w:r w:rsidR="00B657E7">
        <w:t>à partir du prix de votre abonnement. La conséquence d’un mauvais facteur de puissance est aussi un courant plus important consommée et circulant dans les câbles électriques donc des contraintes thermiques importantes.</w:t>
      </w:r>
    </w:p>
    <w:p w14:paraId="56B8AD25" w14:textId="77777777" w:rsidR="00B657E7" w:rsidRDefault="00B657E7" w:rsidP="00B657E7">
      <w:pPr>
        <w:jc w:val="both"/>
      </w:pPr>
    </w:p>
    <w:p w14:paraId="7238BAC3" w14:textId="3A7D788F" w:rsidR="00B657E7" w:rsidRDefault="00B657E7" w:rsidP="001E47DC">
      <w:pPr>
        <w:pStyle w:val="Titre1"/>
        <w:numPr>
          <w:ilvl w:val="0"/>
          <w:numId w:val="3"/>
        </w:numPr>
      </w:pPr>
      <w:r>
        <w:t xml:space="preserve">Méthode de relèvement du facteur de puissance </w:t>
      </w:r>
    </w:p>
    <w:p w14:paraId="22A8E10A" w14:textId="418373E0" w:rsidR="00B657E7" w:rsidRDefault="00B657E7" w:rsidP="00B657E7">
      <w:pPr>
        <w:jc w:val="center"/>
      </w:pPr>
      <w:r w:rsidRPr="00B657E7">
        <w:rPr>
          <w:noProof/>
        </w:rPr>
        <w:drawing>
          <wp:inline distT="0" distB="0" distL="0" distR="0" wp14:anchorId="6B013B47" wp14:editId="3DE058DC">
            <wp:extent cx="2590349" cy="1625600"/>
            <wp:effectExtent l="0" t="0" r="635" b="0"/>
            <wp:docPr id="1963874543" name="Image 1" descr="Une image contenant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74543" name="Image 1" descr="Une image contenant ligne, diagramme&#10;&#10;Description générée automatiquement"/>
                    <pic:cNvPicPr/>
                  </pic:nvPicPr>
                  <pic:blipFill>
                    <a:blip r:embed="rId9"/>
                    <a:stretch>
                      <a:fillRect/>
                    </a:stretch>
                  </pic:blipFill>
                  <pic:spPr>
                    <a:xfrm>
                      <a:off x="0" y="0"/>
                      <a:ext cx="2613242" cy="1639967"/>
                    </a:xfrm>
                    <a:prstGeom prst="rect">
                      <a:avLst/>
                    </a:prstGeom>
                  </pic:spPr>
                </pic:pic>
              </a:graphicData>
            </a:graphic>
          </wp:inline>
        </w:drawing>
      </w:r>
    </w:p>
    <w:p w14:paraId="530A7F98" w14:textId="0D9CA68C" w:rsidR="00B657E7" w:rsidRDefault="00B657E7" w:rsidP="00B657E7">
      <w:pPr>
        <w:jc w:val="both"/>
      </w:pPr>
      <w:r>
        <w:t xml:space="preserve">Si </w:t>
      </w:r>
      <w:r w:rsidR="00BD12B2">
        <w:t xml:space="preserve">on </w:t>
      </w:r>
      <w:r>
        <w:t>désire améliorer le facteur de puissance, il faut diminuer la valeur de la puissance réactive. La solution technologique pour fabriquer une puissance réactive négative est d’utiliser des batteries de condensateur (</w:t>
      </w:r>
      <w:r w:rsidR="00B20C1C">
        <w:t>L</w:t>
      </w:r>
      <w:r>
        <w:t xml:space="preserve">e courant est en avance </w:t>
      </w:r>
      <w:r w:rsidR="00BD12B2">
        <w:t xml:space="preserve">sur la tension donc sin </w:t>
      </w:r>
      <w:r w:rsidR="00BD12B2">
        <w:sym w:font="SymbolProp BT" w:char="F066"/>
      </w:r>
      <w:r w:rsidR="00BD12B2">
        <w:t xml:space="preserve"> est négatif).</w:t>
      </w:r>
    </w:p>
    <w:p w14:paraId="0C3B4117" w14:textId="21FAC445" w:rsidR="00BD12B2" w:rsidRDefault="00BD12B2" w:rsidP="00B657E7">
      <w:pPr>
        <w:jc w:val="both"/>
      </w:pPr>
      <w:r>
        <w:t xml:space="preserve">La méthode de calcul est la suivante : </w:t>
      </w:r>
    </w:p>
    <w:p w14:paraId="02D0E884" w14:textId="2C5AB79F" w:rsidR="00BD12B2" w:rsidRDefault="00BD12B2" w:rsidP="00B657E7">
      <w:pPr>
        <w:jc w:val="both"/>
      </w:pPr>
      <w:r>
        <w:t>Q’ est la puissance réactive pour obtenir un facteur de puissance de 0.95.</w:t>
      </w:r>
    </w:p>
    <w:p w14:paraId="3D6B39C6" w14:textId="700E347D" w:rsidR="00BD12B2" w:rsidRDefault="00BD12B2" w:rsidP="00B657E7">
      <w:pPr>
        <w:jc w:val="both"/>
      </w:pPr>
      <w:proofErr w:type="spellStart"/>
      <w:proofErr w:type="gramStart"/>
      <w:r>
        <w:t>S’ est</w:t>
      </w:r>
      <w:proofErr w:type="spellEnd"/>
      <w:proofErr w:type="gramEnd"/>
      <w:r>
        <w:t xml:space="preserve"> la puissance </w:t>
      </w:r>
      <w:r w:rsidR="00B20C1C">
        <w:t xml:space="preserve">apparente </w:t>
      </w:r>
      <w:r>
        <w:t>pour obtenir un facteur de puissance de 0.95.</w:t>
      </w:r>
    </w:p>
    <w:p w14:paraId="6AB98A7C" w14:textId="64DA3557" w:rsidR="00BD12B2" w:rsidRDefault="00BD12B2" w:rsidP="00B657E7">
      <w:pPr>
        <w:jc w:val="both"/>
      </w:pPr>
    </w:p>
    <w:p w14:paraId="5F486470" w14:textId="45E13810" w:rsidR="00B20C1C" w:rsidRDefault="00B20C1C" w:rsidP="00B20C1C">
      <w:pPr>
        <w:pStyle w:val="Paragraphedeliste"/>
        <w:numPr>
          <w:ilvl w:val="0"/>
          <w:numId w:val="3"/>
        </w:numPr>
        <w:jc w:val="both"/>
      </w:pPr>
      <w:r>
        <w:t xml:space="preserve">Calculer la nouvelle puissance apparente partir de votre active P. avec la relation </w:t>
      </w:r>
      <w:proofErr w:type="gramStart"/>
      <w:r>
        <w:t>S’ =</w:t>
      </w:r>
      <w:proofErr w:type="gramEnd"/>
      <w:r>
        <w:t xml:space="preserve"> P * 0.95</w:t>
      </w:r>
    </w:p>
    <w:p w14:paraId="79A4C895" w14:textId="6378F3F5" w:rsidR="00B20C1C" w:rsidRDefault="00B20C1C" w:rsidP="00B20C1C">
      <w:pPr>
        <w:pStyle w:val="Paragraphedeliste"/>
        <w:numPr>
          <w:ilvl w:val="0"/>
          <w:numId w:val="3"/>
        </w:numPr>
        <w:jc w:val="both"/>
      </w:pPr>
      <w:r>
        <w:t xml:space="preserve">Calculer la nouvelle puissance réactive à partir de la relation Q’ = </w:t>
      </w:r>
      <w:r>
        <w:sym w:font="SymbolProp BT" w:char="F0D6"/>
      </w:r>
      <w:r>
        <w:t>(S’² - P²).</w:t>
      </w:r>
    </w:p>
    <w:p w14:paraId="0CA10BFA" w14:textId="00A15005" w:rsidR="00B20C1C" w:rsidRDefault="00B20C1C" w:rsidP="00B20C1C">
      <w:pPr>
        <w:pStyle w:val="Paragraphedeliste"/>
        <w:numPr>
          <w:ilvl w:val="0"/>
          <w:numId w:val="3"/>
        </w:numPr>
        <w:jc w:val="both"/>
      </w:pPr>
      <w:r>
        <w:t xml:space="preserve">Calculer la puissance réactive de la batterie de condensateur </w:t>
      </w:r>
      <w:proofErr w:type="spellStart"/>
      <w:r>
        <w:t>Qc</w:t>
      </w:r>
      <w:proofErr w:type="spellEnd"/>
      <w:r>
        <w:t xml:space="preserve"> = Q – Q’.</w:t>
      </w:r>
    </w:p>
    <w:p w14:paraId="365CD38E" w14:textId="55705F6F" w:rsidR="00B20C1C" w:rsidRDefault="00B20C1C" w:rsidP="00B20C1C">
      <w:pPr>
        <w:pStyle w:val="Paragraphedeliste"/>
        <w:numPr>
          <w:ilvl w:val="0"/>
          <w:numId w:val="3"/>
        </w:numPr>
        <w:jc w:val="both"/>
      </w:pPr>
      <w:r>
        <w:t xml:space="preserve">Calculer la valeur des condensateurs à coupler en triangle </w:t>
      </w:r>
      <w:proofErr w:type="spellStart"/>
      <w:r>
        <w:t>Qc</w:t>
      </w:r>
      <w:proofErr w:type="spellEnd"/>
      <w:r>
        <w:t xml:space="preserve"> = 3 x C *U² * </w:t>
      </w:r>
      <w:r>
        <w:sym w:font="SymbolProp BT" w:char="F077"/>
      </w:r>
      <w:r>
        <w:t xml:space="preserve"> avec </w:t>
      </w:r>
      <w:r>
        <w:sym w:font="SymbolProp BT" w:char="F077"/>
      </w:r>
      <w:r>
        <w:t xml:space="preserve"> = 2 x </w:t>
      </w:r>
      <w:r>
        <w:sym w:font="SymbolProp BT" w:char="F050"/>
      </w:r>
      <w:r>
        <w:t xml:space="preserve"> x f </w:t>
      </w:r>
    </w:p>
    <w:p w14:paraId="328BC399" w14:textId="392BBC52" w:rsidR="00B20C1C" w:rsidRDefault="00B20C1C" w:rsidP="00B20C1C">
      <w:pPr>
        <w:pStyle w:val="Paragraphedeliste"/>
        <w:numPr>
          <w:ilvl w:val="0"/>
          <w:numId w:val="3"/>
        </w:numPr>
        <w:jc w:val="both"/>
      </w:pPr>
      <w:r>
        <w:t>Effectuer une mesure de puissance à l’interrupteur sectionneur générale et vérifier si le facteur de puissance est celui prédéterminer en théorie.</w:t>
      </w:r>
    </w:p>
    <w:p w14:paraId="00413738" w14:textId="4E7C5474" w:rsidR="00B20C1C" w:rsidRPr="00AA65C2" w:rsidRDefault="00D15F38" w:rsidP="00D15F38">
      <w:pPr>
        <w:pStyle w:val="Paragraphedeliste"/>
        <w:numPr>
          <w:ilvl w:val="0"/>
          <w:numId w:val="3"/>
        </w:numPr>
        <w:jc w:val="both"/>
      </w:pPr>
      <w:r>
        <w:t>Conclure sur l’intérêt du relèvement du facteur de puissance par une comparaison du courant avant et après la compensation.</w:t>
      </w:r>
    </w:p>
    <w:sectPr w:rsidR="00B20C1C" w:rsidRPr="00AA65C2">
      <w:pgSz w:w="11904" w:h="16838"/>
      <w:pgMar w:top="725" w:right="800" w:bottom="929" w:left="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Prop BT">
    <w:panose1 w:val="050501020106070206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8F8"/>
    <w:multiLevelType w:val="hybridMultilevel"/>
    <w:tmpl w:val="8AF6689C"/>
    <w:lvl w:ilvl="0" w:tplc="8BA22B02">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9770">
      <w:start w:val="1"/>
      <w:numFmt w:val="bullet"/>
      <w:lvlText w:val="•"/>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18F46E">
      <w:start w:val="1"/>
      <w:numFmt w:val="bullet"/>
      <w:lvlText w:val="▪"/>
      <w:lvlJc w:val="left"/>
      <w:pPr>
        <w:ind w:left="5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204780">
      <w:start w:val="1"/>
      <w:numFmt w:val="bullet"/>
      <w:lvlText w:val="•"/>
      <w:lvlJc w:val="left"/>
      <w:pPr>
        <w:ind w:left="6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E3E9E">
      <w:start w:val="1"/>
      <w:numFmt w:val="bullet"/>
      <w:lvlText w:val="o"/>
      <w:lvlJc w:val="left"/>
      <w:pPr>
        <w:ind w:left="7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DE4DCA">
      <w:start w:val="1"/>
      <w:numFmt w:val="bullet"/>
      <w:lvlText w:val="▪"/>
      <w:lvlJc w:val="left"/>
      <w:pPr>
        <w:ind w:left="7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44D0C">
      <w:start w:val="1"/>
      <w:numFmt w:val="bullet"/>
      <w:lvlText w:val="•"/>
      <w:lvlJc w:val="left"/>
      <w:pPr>
        <w:ind w:left="8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C19C0">
      <w:start w:val="1"/>
      <w:numFmt w:val="bullet"/>
      <w:lvlText w:val="o"/>
      <w:lvlJc w:val="left"/>
      <w:pPr>
        <w:ind w:left="9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2DF14">
      <w:start w:val="1"/>
      <w:numFmt w:val="bullet"/>
      <w:lvlText w:val="▪"/>
      <w:lvlJc w:val="left"/>
      <w:pPr>
        <w:ind w:left="9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22694F"/>
    <w:multiLevelType w:val="hybridMultilevel"/>
    <w:tmpl w:val="9BC44758"/>
    <w:lvl w:ilvl="0" w:tplc="5C2EE2E6">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43F8E">
      <w:start w:val="1"/>
      <w:numFmt w:val="lowerLetter"/>
      <w:lvlText w:val="%2"/>
      <w:lvlJc w:val="left"/>
      <w:pPr>
        <w:ind w:left="1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CC532">
      <w:start w:val="1"/>
      <w:numFmt w:val="lowerRoman"/>
      <w:lvlText w:val="%3"/>
      <w:lvlJc w:val="left"/>
      <w:pPr>
        <w:ind w:left="2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21ED8">
      <w:start w:val="1"/>
      <w:numFmt w:val="decimal"/>
      <w:lvlText w:val="%4"/>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330">
      <w:start w:val="1"/>
      <w:numFmt w:val="lowerLetter"/>
      <w:lvlText w:val="%5"/>
      <w:lvlJc w:val="left"/>
      <w:pPr>
        <w:ind w:left="3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9204D4">
      <w:start w:val="1"/>
      <w:numFmt w:val="lowerRoman"/>
      <w:lvlText w:val="%6"/>
      <w:lvlJc w:val="left"/>
      <w:pPr>
        <w:ind w:left="4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80DE36">
      <w:start w:val="1"/>
      <w:numFmt w:val="decimal"/>
      <w:lvlText w:val="%7"/>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2A932">
      <w:start w:val="1"/>
      <w:numFmt w:val="lowerLetter"/>
      <w:lvlText w:val="%8"/>
      <w:lvlJc w:val="left"/>
      <w:pPr>
        <w:ind w:left="5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2E1FF0">
      <w:start w:val="1"/>
      <w:numFmt w:val="lowerRoman"/>
      <w:lvlText w:val="%9"/>
      <w:lvlJc w:val="left"/>
      <w:pPr>
        <w:ind w:left="6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41894"/>
    <w:multiLevelType w:val="hybridMultilevel"/>
    <w:tmpl w:val="C512DFA8"/>
    <w:lvl w:ilvl="0" w:tplc="040C000F">
      <w:start w:val="1"/>
      <w:numFmt w:val="decimal"/>
      <w:lvlText w:val="%1."/>
      <w:lvlJc w:val="left"/>
      <w:pPr>
        <w:ind w:left="782" w:hanging="360"/>
      </w:pPr>
    </w:lvl>
    <w:lvl w:ilvl="1" w:tplc="040C0019" w:tentative="1">
      <w:start w:val="1"/>
      <w:numFmt w:val="lowerLetter"/>
      <w:lvlText w:val="%2."/>
      <w:lvlJc w:val="left"/>
      <w:pPr>
        <w:ind w:left="1502" w:hanging="360"/>
      </w:pPr>
    </w:lvl>
    <w:lvl w:ilvl="2" w:tplc="040C001B" w:tentative="1">
      <w:start w:val="1"/>
      <w:numFmt w:val="lowerRoman"/>
      <w:lvlText w:val="%3."/>
      <w:lvlJc w:val="right"/>
      <w:pPr>
        <w:ind w:left="2222" w:hanging="180"/>
      </w:pPr>
    </w:lvl>
    <w:lvl w:ilvl="3" w:tplc="040C000F" w:tentative="1">
      <w:start w:val="1"/>
      <w:numFmt w:val="decimal"/>
      <w:lvlText w:val="%4."/>
      <w:lvlJc w:val="left"/>
      <w:pPr>
        <w:ind w:left="2942" w:hanging="360"/>
      </w:pPr>
    </w:lvl>
    <w:lvl w:ilvl="4" w:tplc="040C0019" w:tentative="1">
      <w:start w:val="1"/>
      <w:numFmt w:val="lowerLetter"/>
      <w:lvlText w:val="%5."/>
      <w:lvlJc w:val="left"/>
      <w:pPr>
        <w:ind w:left="3662" w:hanging="360"/>
      </w:pPr>
    </w:lvl>
    <w:lvl w:ilvl="5" w:tplc="040C001B" w:tentative="1">
      <w:start w:val="1"/>
      <w:numFmt w:val="lowerRoman"/>
      <w:lvlText w:val="%6."/>
      <w:lvlJc w:val="right"/>
      <w:pPr>
        <w:ind w:left="4382" w:hanging="180"/>
      </w:pPr>
    </w:lvl>
    <w:lvl w:ilvl="6" w:tplc="040C000F" w:tentative="1">
      <w:start w:val="1"/>
      <w:numFmt w:val="decimal"/>
      <w:lvlText w:val="%7."/>
      <w:lvlJc w:val="left"/>
      <w:pPr>
        <w:ind w:left="5102" w:hanging="360"/>
      </w:pPr>
    </w:lvl>
    <w:lvl w:ilvl="7" w:tplc="040C0019" w:tentative="1">
      <w:start w:val="1"/>
      <w:numFmt w:val="lowerLetter"/>
      <w:lvlText w:val="%8."/>
      <w:lvlJc w:val="left"/>
      <w:pPr>
        <w:ind w:left="5822" w:hanging="360"/>
      </w:pPr>
    </w:lvl>
    <w:lvl w:ilvl="8" w:tplc="040C001B" w:tentative="1">
      <w:start w:val="1"/>
      <w:numFmt w:val="lowerRoman"/>
      <w:lvlText w:val="%9."/>
      <w:lvlJc w:val="right"/>
      <w:pPr>
        <w:ind w:left="6542" w:hanging="180"/>
      </w:pPr>
    </w:lvl>
  </w:abstractNum>
  <w:num w:numId="1" w16cid:durableId="498079178">
    <w:abstractNumId w:val="0"/>
  </w:num>
  <w:num w:numId="2" w16cid:durableId="521432623">
    <w:abstractNumId w:val="1"/>
  </w:num>
  <w:num w:numId="3" w16cid:durableId="130215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D1"/>
    <w:rsid w:val="0004129F"/>
    <w:rsid w:val="00063D69"/>
    <w:rsid w:val="000849DD"/>
    <w:rsid w:val="00123CC0"/>
    <w:rsid w:val="001E47DC"/>
    <w:rsid w:val="00272C2A"/>
    <w:rsid w:val="002B2CA3"/>
    <w:rsid w:val="00330F97"/>
    <w:rsid w:val="00417EB7"/>
    <w:rsid w:val="004402D1"/>
    <w:rsid w:val="004449AE"/>
    <w:rsid w:val="00475F5C"/>
    <w:rsid w:val="00480CE6"/>
    <w:rsid w:val="00486BB0"/>
    <w:rsid w:val="00502F46"/>
    <w:rsid w:val="0066674F"/>
    <w:rsid w:val="00666769"/>
    <w:rsid w:val="00726FA9"/>
    <w:rsid w:val="00731442"/>
    <w:rsid w:val="00807AAE"/>
    <w:rsid w:val="00A324B0"/>
    <w:rsid w:val="00A7776F"/>
    <w:rsid w:val="00AA65C2"/>
    <w:rsid w:val="00B20C1C"/>
    <w:rsid w:val="00B657E7"/>
    <w:rsid w:val="00B679C4"/>
    <w:rsid w:val="00B97C24"/>
    <w:rsid w:val="00BC4C73"/>
    <w:rsid w:val="00BC5AF4"/>
    <w:rsid w:val="00BD12B2"/>
    <w:rsid w:val="00C73A8E"/>
    <w:rsid w:val="00D15F38"/>
    <w:rsid w:val="00D32DB4"/>
    <w:rsid w:val="00E52EEA"/>
    <w:rsid w:val="00E76C6C"/>
    <w:rsid w:val="00E83434"/>
    <w:rsid w:val="00F17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116"/>
  <w15:docId w15:val="{E53965B2-55C1-403C-BB73-B7BCE5E2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71" w:lineRule="auto"/>
      <w:ind w:left="447" w:hanging="10"/>
    </w:pPr>
    <w:rPr>
      <w:rFonts w:ascii="Arial" w:eastAsia="Arial" w:hAnsi="Arial" w:cs="Arial"/>
      <w:color w:val="000000"/>
    </w:rPr>
  </w:style>
  <w:style w:type="paragraph" w:styleId="Titre1">
    <w:name w:val="heading 1"/>
    <w:next w:val="Normal"/>
    <w:link w:val="Titre1Car"/>
    <w:uiPriority w:val="9"/>
    <w:qFormat/>
    <w:pPr>
      <w:keepNext/>
      <w:keepLines/>
      <w:spacing w:after="221" w:line="259" w:lineRule="auto"/>
      <w:ind w:left="87" w:hanging="10"/>
      <w:outlineLvl w:val="0"/>
    </w:pPr>
    <w:rPr>
      <w:rFonts w:ascii="Arial" w:eastAsia="Arial" w:hAnsi="Arial" w:cs="Arial"/>
      <w:b/>
      <w:color w:val="000000"/>
      <w:u w:val="single" w:color="000000"/>
    </w:rPr>
  </w:style>
  <w:style w:type="paragraph" w:styleId="Titre2">
    <w:name w:val="heading 2"/>
    <w:basedOn w:val="Normal"/>
    <w:next w:val="Normal"/>
    <w:link w:val="Titre2Car"/>
    <w:uiPriority w:val="9"/>
    <w:semiHidden/>
    <w:unhideWhenUsed/>
    <w:qFormat/>
    <w:rsid w:val="00AA65C2"/>
    <w:pPr>
      <w:keepNext/>
      <w:keepLines/>
      <w:spacing w:before="40" w:after="0" w:line="259" w:lineRule="auto"/>
      <w:ind w:left="0" w:firstLine="0"/>
      <w:outlineLvl w:val="1"/>
    </w:pPr>
    <w:rPr>
      <w:rFonts w:asciiTheme="majorHAnsi" w:eastAsiaTheme="majorEastAsia" w:hAnsiTheme="majorHAnsi" w:cstheme="majorBidi"/>
      <w:color w:val="0F4761" w:themeColor="accent1" w:themeShade="BF"/>
      <w:kern w:val="0"/>
      <w:sz w:val="26"/>
      <w:szCs w:val="26"/>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31442"/>
    <w:pPr>
      <w:ind w:left="720"/>
      <w:contextualSpacing/>
    </w:pPr>
  </w:style>
  <w:style w:type="character" w:styleId="Textedelespacerserv">
    <w:name w:val="Placeholder Text"/>
    <w:basedOn w:val="Policepardfaut"/>
    <w:uiPriority w:val="99"/>
    <w:semiHidden/>
    <w:rsid w:val="00486BB0"/>
    <w:rPr>
      <w:color w:val="666666"/>
    </w:rPr>
  </w:style>
  <w:style w:type="character" w:customStyle="1" w:styleId="Titre2Car">
    <w:name w:val="Titre 2 Car"/>
    <w:basedOn w:val="Policepardfaut"/>
    <w:link w:val="Titre2"/>
    <w:uiPriority w:val="9"/>
    <w:semiHidden/>
    <w:rsid w:val="00AA65C2"/>
    <w:rPr>
      <w:rFonts w:asciiTheme="majorHAnsi" w:eastAsiaTheme="majorEastAsia" w:hAnsiTheme="majorHAnsi" w:cstheme="majorBidi"/>
      <w:color w:val="0F4761" w:themeColor="accent1" w:themeShade="BF"/>
      <w:kern w:val="0"/>
      <w:sz w:val="26"/>
      <w:szCs w:val="26"/>
      <w:lang w:eastAsia="en-US"/>
      <w14:ligatures w14:val="none"/>
    </w:rPr>
  </w:style>
  <w:style w:type="table" w:styleId="Grilledutableau">
    <w:name w:val="Table Grid"/>
    <w:basedOn w:val="TableauNormal"/>
    <w:uiPriority w:val="39"/>
    <w:rsid w:val="0008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580</Words>
  <Characters>3193</Characters>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2024-02-29T15:45:00Z</dcterms:created>
  <dcterms:modified xsi:type="dcterms:W3CDTF">2024-04-22T08:42:00Z</dcterms:modified>
</cp:coreProperties>
</file>