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873F9" w14:textId="52F24F5C" w:rsidR="006219A4" w:rsidRDefault="0044245E" w:rsidP="0044245E">
      <w:pPr>
        <w:pStyle w:val="Sansinterligne"/>
        <w:jc w:val="center"/>
        <w:rPr>
          <w:rFonts w:ascii="Arial" w:hAnsi="Arial" w:cs="Arial"/>
          <w:b/>
          <w:sz w:val="28"/>
          <w:szCs w:val="28"/>
          <w:lang w:val="fr-FR"/>
        </w:rPr>
      </w:pPr>
      <w:r>
        <w:rPr>
          <w:rFonts w:ascii="Arial" w:hAnsi="Arial" w:cs="Arial"/>
          <w:b/>
          <w:sz w:val="28"/>
          <w:szCs w:val="28"/>
          <w:lang w:val="fr-FR"/>
        </w:rPr>
        <w:t xml:space="preserve">TD Capacités d’extension de la carte LoRa End </w:t>
      </w:r>
      <w:proofErr w:type="spellStart"/>
      <w:r>
        <w:rPr>
          <w:rFonts w:ascii="Arial" w:hAnsi="Arial" w:cs="Arial"/>
          <w:b/>
          <w:sz w:val="28"/>
          <w:szCs w:val="28"/>
          <w:lang w:val="fr-FR"/>
        </w:rPr>
        <w:t>Device</w:t>
      </w:r>
      <w:proofErr w:type="spellEnd"/>
    </w:p>
    <w:p w14:paraId="4E4873FA" w14:textId="77777777" w:rsidR="008E5B47" w:rsidRDefault="008E5B47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E4873FB" w14:textId="77777777" w:rsidR="00026966" w:rsidRDefault="00026966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E4873FC" w14:textId="77777777" w:rsidR="00026966" w:rsidRPr="00026966" w:rsidRDefault="00026966" w:rsidP="00026966">
      <w:pPr>
        <w:pStyle w:val="Sansinterligne"/>
        <w:jc w:val="center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CORRECTION</w:t>
      </w:r>
    </w:p>
    <w:p w14:paraId="4E4873FD" w14:textId="77777777" w:rsidR="008E5B47" w:rsidRDefault="008E5B47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E4873FE" w14:textId="77777777" w:rsidR="00534792" w:rsidRDefault="00534792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E4873FF" w14:textId="77777777" w:rsidR="00534792" w:rsidRDefault="00534792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E487400" w14:textId="77777777" w:rsidR="00C90133" w:rsidRDefault="008E5B47" w:rsidP="008E5B47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b/>
          <w:lang w:val="fr-FR"/>
        </w:rPr>
        <w:t>Objectif </w:t>
      </w:r>
      <w:r w:rsidRPr="00C90133">
        <w:rPr>
          <w:rFonts w:ascii="Arial" w:hAnsi="Arial" w:cs="Arial"/>
          <w:lang w:val="fr-FR"/>
        </w:rPr>
        <w:t xml:space="preserve">: </w:t>
      </w:r>
      <w:r w:rsidR="0044245E">
        <w:rPr>
          <w:rFonts w:ascii="Arial" w:hAnsi="Arial" w:cs="Arial"/>
          <w:lang w:val="fr-FR"/>
        </w:rPr>
        <w:t xml:space="preserve">lister l’ensemble des signaux mis à disposition par la carte End </w:t>
      </w:r>
      <w:proofErr w:type="spellStart"/>
      <w:r w:rsidR="0044245E">
        <w:rPr>
          <w:rFonts w:ascii="Arial" w:hAnsi="Arial" w:cs="Arial"/>
          <w:lang w:val="fr-FR"/>
        </w:rPr>
        <w:t>Device</w:t>
      </w:r>
      <w:proofErr w:type="spellEnd"/>
      <w:r w:rsidR="0044245E">
        <w:rPr>
          <w:rFonts w:ascii="Arial" w:hAnsi="Arial" w:cs="Arial"/>
          <w:lang w:val="fr-FR"/>
        </w:rPr>
        <w:t xml:space="preserve"> lors de l’ajout d’une carte fille</w:t>
      </w:r>
      <w:r w:rsidR="00D06658">
        <w:rPr>
          <w:rFonts w:ascii="Arial" w:hAnsi="Arial" w:cs="Arial"/>
          <w:lang w:val="fr-FR"/>
        </w:rPr>
        <w:t>.</w:t>
      </w:r>
    </w:p>
    <w:p w14:paraId="4E487401" w14:textId="77777777" w:rsidR="00534792" w:rsidRDefault="00534792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E487402" w14:textId="77777777" w:rsidR="00DC1E55" w:rsidRDefault="00DC1E55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E487403" w14:textId="77777777" w:rsidR="00226765" w:rsidRDefault="00226765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E487404" w14:textId="77777777" w:rsidR="007168D1" w:rsidRDefault="006169B2" w:rsidP="006169B2">
      <w:pPr>
        <w:pStyle w:val="Sansinterligne"/>
        <w:numPr>
          <w:ilvl w:val="0"/>
          <w:numId w:val="12"/>
        </w:numPr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Localisation de la fonction objet de l’étude</w:t>
      </w:r>
    </w:p>
    <w:p w14:paraId="4E487405" w14:textId="77777777" w:rsidR="006169B2" w:rsidRPr="006169B2" w:rsidRDefault="006169B2" w:rsidP="006169B2">
      <w:pPr>
        <w:pStyle w:val="Sansinterligne"/>
        <w:jc w:val="both"/>
        <w:rPr>
          <w:rFonts w:ascii="Arial" w:hAnsi="Arial" w:cs="Arial"/>
          <w:b/>
          <w:lang w:val="fr-FR"/>
        </w:rPr>
      </w:pPr>
    </w:p>
    <w:p w14:paraId="4E487406" w14:textId="77777777" w:rsidR="00C90133" w:rsidRDefault="00C275F2" w:rsidP="00DC1E55">
      <w:pPr>
        <w:pStyle w:val="Sansinterligne"/>
        <w:jc w:val="center"/>
        <w:rPr>
          <w:rFonts w:ascii="Arial" w:hAnsi="Arial" w:cs="Arial"/>
          <w:lang w:val="fr-FR"/>
        </w:rPr>
      </w:pPr>
      <w:r>
        <w:object w:dxaOrig="22521" w:dyaOrig="16372" w14:anchorId="4E48743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4.9pt;height:330.8pt" o:ole="">
            <v:imagedata r:id="rId7" o:title=""/>
          </v:shape>
          <o:OLEObject Type="Embed" ProgID="CorelDESIGNER.Graphic.16" ShapeID="_x0000_i1025" DrawAspect="Content" ObjectID="_1711771746" r:id="rId8"/>
        </w:object>
      </w:r>
    </w:p>
    <w:p w14:paraId="4E487407" w14:textId="77777777" w:rsidR="00534792" w:rsidRDefault="00534792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E487408" w14:textId="77777777" w:rsidR="00DC1E55" w:rsidRDefault="00DC1E55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E487409" w14:textId="77777777" w:rsidR="005E22BF" w:rsidRDefault="005E22BF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E48740A" w14:textId="77777777" w:rsidR="005E22BF" w:rsidRDefault="005E22BF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E48740B" w14:textId="77777777" w:rsidR="005E22BF" w:rsidRDefault="005E22BF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E48740C" w14:textId="77777777" w:rsidR="005E22BF" w:rsidRDefault="005E22BF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E48740D" w14:textId="77777777" w:rsidR="005E22BF" w:rsidRDefault="005E22BF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E48740E" w14:textId="77777777" w:rsidR="00CE77B4" w:rsidRDefault="00CE77B4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E48740F" w14:textId="77777777" w:rsidR="0044245E" w:rsidRDefault="0044245E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E487410" w14:textId="77777777" w:rsidR="00CE77B4" w:rsidRDefault="00CE77B4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E487411" w14:textId="77777777" w:rsidR="00DC1E55" w:rsidRPr="0044245E" w:rsidRDefault="00DC1E55" w:rsidP="008E5B47">
      <w:pPr>
        <w:pStyle w:val="Sansinterligne"/>
        <w:numPr>
          <w:ilvl w:val="0"/>
          <w:numId w:val="12"/>
        </w:numPr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Schéma structurel associé</w:t>
      </w:r>
    </w:p>
    <w:p w14:paraId="4E487412" w14:textId="77777777" w:rsidR="0044245E" w:rsidRPr="00F21604" w:rsidRDefault="0044245E" w:rsidP="0044245E">
      <w:pPr>
        <w:pStyle w:val="Sansinterligne"/>
        <w:rPr>
          <w:rFonts w:ascii="Arial" w:hAnsi="Arial" w:cs="Arial"/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5301"/>
      </w:tblGrid>
      <w:tr w:rsidR="0044245E" w:rsidRPr="00F21604" w14:paraId="4E487414" w14:textId="77777777" w:rsidTr="00F51A25">
        <w:trPr>
          <w:trHeight w:val="1539"/>
          <w:jc w:val="center"/>
        </w:trPr>
        <w:tc>
          <w:tcPr>
            <w:tcW w:w="4224" w:type="dxa"/>
          </w:tcPr>
          <w:p w14:paraId="4E487413" w14:textId="77777777" w:rsidR="0044245E" w:rsidRPr="00F21604" w:rsidRDefault="0044245E" w:rsidP="00B25A98">
            <w:pPr>
              <w:pStyle w:val="Sansinterligne"/>
              <w:rPr>
                <w:rFonts w:ascii="Arial" w:hAnsi="Arial" w:cs="Arial"/>
                <w:lang w:val="fr-FR"/>
              </w:rPr>
            </w:pPr>
            <w:r w:rsidRPr="00F21604">
              <w:rPr>
                <w:rFonts w:ascii="Arial" w:hAnsi="Arial" w:cs="Arial"/>
                <w:noProof/>
                <w:lang w:val="fr-FR" w:eastAsia="fr-FR"/>
              </w:rPr>
              <w:lastRenderedPageBreak/>
              <w:drawing>
                <wp:inline distT="0" distB="0" distL="0" distR="0" wp14:anchorId="4E48743D" wp14:editId="4E48743E">
                  <wp:extent cx="3229269" cy="2088405"/>
                  <wp:effectExtent l="0" t="0" r="0" b="762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9269" cy="2088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487415" w14:textId="77777777" w:rsidR="0044245E" w:rsidRPr="00F21604" w:rsidRDefault="0044245E" w:rsidP="0044245E">
      <w:pPr>
        <w:pStyle w:val="Sansinterligne"/>
        <w:rPr>
          <w:rFonts w:ascii="Arial" w:hAnsi="Arial" w:cs="Arial"/>
          <w:lang w:val="fr-FR"/>
        </w:rPr>
      </w:pPr>
    </w:p>
    <w:p w14:paraId="4E487416" w14:textId="77777777" w:rsidR="0044245E" w:rsidRDefault="0044245E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E487417" w14:textId="77777777" w:rsidR="0044245E" w:rsidRDefault="0044245E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4E487418" w14:textId="77777777" w:rsidR="00C90133" w:rsidRDefault="00F51A25" w:rsidP="00983F18">
      <w:pPr>
        <w:pStyle w:val="Sansinterligne"/>
        <w:numPr>
          <w:ilvl w:val="0"/>
          <w:numId w:val="1"/>
        </w:numPr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 xml:space="preserve">Les capacités d’extension de la carte End </w:t>
      </w:r>
      <w:proofErr w:type="spellStart"/>
      <w:r>
        <w:rPr>
          <w:rFonts w:ascii="Arial" w:hAnsi="Arial" w:cs="Arial"/>
          <w:b/>
          <w:lang w:val="fr-FR"/>
        </w:rPr>
        <w:t>Device</w:t>
      </w:r>
      <w:proofErr w:type="spellEnd"/>
    </w:p>
    <w:p w14:paraId="4E487419" w14:textId="77777777" w:rsidR="00F51A25" w:rsidRDefault="00F51A25" w:rsidP="00F51A25">
      <w:pPr>
        <w:pStyle w:val="Sansinterligne"/>
        <w:jc w:val="both"/>
        <w:rPr>
          <w:rFonts w:ascii="Arial" w:hAnsi="Arial" w:cs="Arial"/>
          <w:lang w:val="fr-FR"/>
        </w:rPr>
      </w:pPr>
    </w:p>
    <w:p w14:paraId="4E48741A" w14:textId="77777777" w:rsidR="00F51A25" w:rsidRDefault="00F51A25" w:rsidP="00F51A25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Indiquer, en considérant les labels des fils associés aux connecteurs d’extension J6 à J9, à quels types de périphériques intégrés au µC une carte fille peut avoir accès.</w:t>
      </w:r>
    </w:p>
    <w:p w14:paraId="4E48741B" w14:textId="77777777" w:rsidR="000954AE" w:rsidRDefault="000954AE" w:rsidP="000954AE">
      <w:pPr>
        <w:pStyle w:val="Sansinterligne"/>
        <w:numPr>
          <w:ilvl w:val="0"/>
          <w:numId w:val="13"/>
        </w:numPr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ADC0 à ADC5 : 6 dispositifs de conversion analogique numérique ;</w:t>
      </w:r>
    </w:p>
    <w:p w14:paraId="4E48741C" w14:textId="77777777" w:rsidR="000954AE" w:rsidRDefault="000954AE" w:rsidP="000954AE">
      <w:pPr>
        <w:pStyle w:val="Sansinterligne"/>
        <w:numPr>
          <w:ilvl w:val="0"/>
          <w:numId w:val="13"/>
        </w:numPr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SCL, SDA : interface série synchrone I2C ;</w:t>
      </w:r>
    </w:p>
    <w:p w14:paraId="4E48741D" w14:textId="77777777" w:rsidR="000954AE" w:rsidRDefault="000954AE" w:rsidP="000954AE">
      <w:pPr>
        <w:pStyle w:val="Sansinterligne"/>
        <w:numPr>
          <w:ilvl w:val="0"/>
          <w:numId w:val="13"/>
        </w:numPr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SCK, MOSI, MISO, /SS : interface série synchrone SPI ;</w:t>
      </w:r>
    </w:p>
    <w:p w14:paraId="4E48741E" w14:textId="77777777" w:rsidR="000954AE" w:rsidRDefault="000954AE" w:rsidP="000954AE">
      <w:pPr>
        <w:pStyle w:val="Sansinterligne"/>
        <w:numPr>
          <w:ilvl w:val="0"/>
          <w:numId w:val="13"/>
        </w:numPr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RXD, TXD : interface série asynchrone UART ;</w:t>
      </w:r>
    </w:p>
    <w:p w14:paraId="4E48741F" w14:textId="77777777" w:rsidR="000954AE" w:rsidRDefault="000954AE" w:rsidP="00A33818">
      <w:pPr>
        <w:pStyle w:val="Sansinterligne"/>
        <w:numPr>
          <w:ilvl w:val="0"/>
          <w:numId w:val="13"/>
        </w:numPr>
        <w:ind w:right="-92"/>
        <w:jc w:val="both"/>
        <w:rPr>
          <w:rFonts w:ascii="Arial" w:hAnsi="Arial" w:cs="Arial"/>
          <w:b/>
          <w:color w:val="0000CC"/>
          <w:lang w:val="fr-FR"/>
        </w:rPr>
      </w:pPr>
      <w:r w:rsidRPr="00492F00">
        <w:rPr>
          <w:rFonts w:ascii="Arial" w:hAnsi="Arial" w:cs="Arial"/>
          <w:b/>
          <w:color w:val="0000CC"/>
          <w:lang w:val="fr-FR"/>
        </w:rPr>
        <w:t xml:space="preserve">GPIO2, GPIO4, </w:t>
      </w:r>
      <w:r w:rsidR="00492F00" w:rsidRPr="00492F00">
        <w:rPr>
          <w:rFonts w:ascii="Arial" w:hAnsi="Arial" w:cs="Arial"/>
          <w:b/>
          <w:color w:val="0000CC"/>
          <w:lang w:val="fr-FR"/>
        </w:rPr>
        <w:t>GPIO16, GPIO17, GPIO27, BP, IO3</w:t>
      </w:r>
      <w:r w:rsidR="00A220FD">
        <w:rPr>
          <w:rFonts w:ascii="Arial" w:hAnsi="Arial" w:cs="Arial"/>
          <w:b/>
          <w:color w:val="0000CC"/>
          <w:lang w:val="fr-FR"/>
        </w:rPr>
        <w:t xml:space="preserve"> : </w:t>
      </w:r>
      <w:r w:rsidR="00A33818">
        <w:rPr>
          <w:rFonts w:ascii="Arial" w:hAnsi="Arial" w:cs="Arial"/>
          <w:b/>
          <w:color w:val="0000CC"/>
          <w:lang w:val="fr-FR"/>
        </w:rPr>
        <w:t xml:space="preserve">7 </w:t>
      </w:r>
      <w:r w:rsidR="00A220FD">
        <w:rPr>
          <w:rFonts w:ascii="Arial" w:hAnsi="Arial" w:cs="Arial"/>
          <w:b/>
          <w:color w:val="0000CC"/>
          <w:lang w:val="fr-FR"/>
        </w:rPr>
        <w:t>broches de port d’entrée/sortie ;</w:t>
      </w:r>
    </w:p>
    <w:p w14:paraId="4E487420" w14:textId="77777777" w:rsidR="00A220FD" w:rsidRDefault="00A33818" w:rsidP="000954AE">
      <w:pPr>
        <w:pStyle w:val="Sansinterligne"/>
        <w:numPr>
          <w:ilvl w:val="0"/>
          <w:numId w:val="13"/>
        </w:numPr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IRQ_I2C : 1 broche de requête d’interruption externe ;</w:t>
      </w:r>
    </w:p>
    <w:p w14:paraId="4E487421" w14:textId="77777777" w:rsidR="00A33818" w:rsidRPr="00492F00" w:rsidRDefault="00A33818" w:rsidP="000954AE">
      <w:pPr>
        <w:pStyle w:val="Sansinterligne"/>
        <w:numPr>
          <w:ilvl w:val="0"/>
          <w:numId w:val="13"/>
        </w:numPr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/RST : 1 broche de Reset.</w:t>
      </w:r>
    </w:p>
    <w:p w14:paraId="4E487422" w14:textId="77777777" w:rsidR="000954AE" w:rsidRPr="00492F00" w:rsidRDefault="000954AE" w:rsidP="000954AE">
      <w:pPr>
        <w:pStyle w:val="Sansinterligne"/>
        <w:jc w:val="both"/>
        <w:rPr>
          <w:rFonts w:ascii="Arial" w:hAnsi="Arial" w:cs="Arial"/>
          <w:lang w:val="fr-FR"/>
        </w:rPr>
      </w:pPr>
    </w:p>
    <w:p w14:paraId="4E487423" w14:textId="77777777" w:rsidR="00F51A25" w:rsidRDefault="00F51A25" w:rsidP="00F51A25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Justifier, sur le synoptique proposé page précédente, le sens des flèches (ou l’absence de flèche) des signaux associés aux différentes broches des connecteurs J</w:t>
      </w:r>
      <w:r w:rsidR="007225F8">
        <w:rPr>
          <w:rFonts w:ascii="Arial" w:hAnsi="Arial" w:cs="Arial"/>
          <w:lang w:val="fr-FR"/>
        </w:rPr>
        <w:t>6</w:t>
      </w:r>
      <w:r>
        <w:rPr>
          <w:rFonts w:ascii="Arial" w:hAnsi="Arial" w:cs="Arial"/>
          <w:lang w:val="fr-FR"/>
        </w:rPr>
        <w:t xml:space="preserve"> à J</w:t>
      </w:r>
      <w:r w:rsidR="007225F8">
        <w:rPr>
          <w:rFonts w:ascii="Arial" w:hAnsi="Arial" w:cs="Arial"/>
          <w:lang w:val="fr-FR"/>
        </w:rPr>
        <w:t>9</w:t>
      </w:r>
      <w:r w:rsidR="008D3D5E">
        <w:rPr>
          <w:rFonts w:ascii="Arial" w:hAnsi="Arial" w:cs="Arial"/>
          <w:lang w:val="fr-FR"/>
        </w:rPr>
        <w:t>.</w:t>
      </w:r>
    </w:p>
    <w:p w14:paraId="4E487424" w14:textId="77777777" w:rsidR="00A33818" w:rsidRDefault="001C262D" w:rsidP="001C262D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Pour la carte fille qui vient se positionner sur les connecteurs d’extension J</w:t>
      </w:r>
      <w:r w:rsidR="00C86797">
        <w:rPr>
          <w:rFonts w:ascii="Arial" w:hAnsi="Arial" w:cs="Arial"/>
          <w:b/>
          <w:color w:val="0000CC"/>
          <w:lang w:val="fr-FR"/>
        </w:rPr>
        <w:t>6 à J9 :</w:t>
      </w:r>
    </w:p>
    <w:p w14:paraId="4E487425" w14:textId="77777777" w:rsidR="00C86797" w:rsidRDefault="00C86797" w:rsidP="00C86797">
      <w:pPr>
        <w:pStyle w:val="Sansinterligne"/>
        <w:numPr>
          <w:ilvl w:val="0"/>
          <w:numId w:val="16"/>
        </w:numPr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ADC0 à ADC5 sont des sortie</w:t>
      </w:r>
      <w:r w:rsidR="00661BA6">
        <w:rPr>
          <w:rFonts w:ascii="Arial" w:hAnsi="Arial" w:cs="Arial"/>
          <w:b/>
          <w:color w:val="0000CC"/>
          <w:lang w:val="fr-FR"/>
        </w:rPr>
        <w:t>s connectées</w:t>
      </w:r>
      <w:r>
        <w:rPr>
          <w:rFonts w:ascii="Arial" w:hAnsi="Arial" w:cs="Arial"/>
          <w:b/>
          <w:color w:val="0000CC"/>
          <w:lang w:val="fr-FR"/>
        </w:rPr>
        <w:t xml:space="preserve"> sur les entrées de CAN du µC ;</w:t>
      </w:r>
    </w:p>
    <w:p w14:paraId="4E487426" w14:textId="77777777" w:rsidR="00C86797" w:rsidRDefault="00C86797" w:rsidP="00C86797">
      <w:pPr>
        <w:pStyle w:val="Sansinterligne"/>
        <w:numPr>
          <w:ilvl w:val="0"/>
          <w:numId w:val="16"/>
        </w:numPr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SCL est une entrée connectée à la broche de sortie SCL de l’interface I2C du µC ;</w:t>
      </w:r>
    </w:p>
    <w:p w14:paraId="4E487427" w14:textId="77777777" w:rsidR="00C86797" w:rsidRDefault="00C86797" w:rsidP="00C86797">
      <w:pPr>
        <w:pStyle w:val="Sansinterligne"/>
        <w:numPr>
          <w:ilvl w:val="0"/>
          <w:numId w:val="16"/>
        </w:numPr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SDA est une sortie/entrée connectée à la broche d’E/S SDA de l’interface I2C du µC ;</w:t>
      </w:r>
    </w:p>
    <w:p w14:paraId="4E487428" w14:textId="77777777" w:rsidR="00C86797" w:rsidRDefault="00C86797" w:rsidP="00C86797">
      <w:pPr>
        <w:pStyle w:val="Sansinterligne"/>
        <w:numPr>
          <w:ilvl w:val="0"/>
          <w:numId w:val="16"/>
        </w:numPr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SCK est une entrée connectée à la broche de sortie SCK de l’interface SPI du µC ;</w:t>
      </w:r>
    </w:p>
    <w:p w14:paraId="4E487429" w14:textId="77777777" w:rsidR="00C86797" w:rsidRDefault="00C86797" w:rsidP="00C86797">
      <w:pPr>
        <w:pStyle w:val="Sansinterligne"/>
        <w:numPr>
          <w:ilvl w:val="0"/>
          <w:numId w:val="16"/>
        </w:numPr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MOSI est une entrée connectée à la broche de sortie MOSI de l’interface SPI du µC ;</w:t>
      </w:r>
    </w:p>
    <w:p w14:paraId="4E48742A" w14:textId="77777777" w:rsidR="00C86797" w:rsidRDefault="00C86797" w:rsidP="00C86797">
      <w:pPr>
        <w:pStyle w:val="Sansinterligne"/>
        <w:numPr>
          <w:ilvl w:val="0"/>
          <w:numId w:val="16"/>
        </w:numPr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MISO est une sortie connectée à la broche d’entrée MISO de l’interface SPI du µC ;</w:t>
      </w:r>
    </w:p>
    <w:p w14:paraId="4E48742B" w14:textId="77777777" w:rsidR="00C86797" w:rsidRDefault="00C86797" w:rsidP="00C86797">
      <w:pPr>
        <w:pStyle w:val="Sansinterligne"/>
        <w:numPr>
          <w:ilvl w:val="0"/>
          <w:numId w:val="16"/>
        </w:numPr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/SS est une entrée connectée à la broche de sortie /SS de l’interface SPI du µC ;</w:t>
      </w:r>
    </w:p>
    <w:p w14:paraId="4E48742C" w14:textId="77777777" w:rsidR="00C86797" w:rsidRDefault="00C86797" w:rsidP="00C86797">
      <w:pPr>
        <w:pStyle w:val="Sansinterligne"/>
        <w:numPr>
          <w:ilvl w:val="0"/>
          <w:numId w:val="16"/>
        </w:numPr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 xml:space="preserve">RXD est une sortie connectée à la broche d’entrée RXD de l’interface UART du </w:t>
      </w:r>
      <w:r w:rsidR="002F4096">
        <w:rPr>
          <w:rFonts w:ascii="Arial" w:hAnsi="Arial" w:cs="Arial"/>
          <w:b/>
          <w:color w:val="0000CC"/>
          <w:lang w:val="fr-FR"/>
        </w:rPr>
        <w:t>µC ;</w:t>
      </w:r>
    </w:p>
    <w:p w14:paraId="4E48742D" w14:textId="77777777" w:rsidR="002F4096" w:rsidRDefault="002F4096" w:rsidP="00C86797">
      <w:pPr>
        <w:pStyle w:val="Sansinterligne"/>
        <w:numPr>
          <w:ilvl w:val="0"/>
          <w:numId w:val="16"/>
        </w:numPr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TXD est une entrée connectée à la broche de sortie TXD de l’interface UART du µC ;</w:t>
      </w:r>
    </w:p>
    <w:p w14:paraId="4E48742E" w14:textId="77777777" w:rsidR="002F4096" w:rsidRDefault="002F4096" w:rsidP="00C86797">
      <w:pPr>
        <w:pStyle w:val="Sansinterligne"/>
        <w:numPr>
          <w:ilvl w:val="0"/>
          <w:numId w:val="16"/>
        </w:numPr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 xml:space="preserve">GPIO2, GPIO4 et BP sont des </w:t>
      </w:r>
      <w:r w:rsidR="00661BA6">
        <w:rPr>
          <w:rFonts w:ascii="Arial" w:hAnsi="Arial" w:cs="Arial"/>
          <w:b/>
          <w:color w:val="0000CC"/>
          <w:lang w:val="fr-FR"/>
        </w:rPr>
        <w:t>entré</w:t>
      </w:r>
      <w:r>
        <w:rPr>
          <w:rFonts w:ascii="Arial" w:hAnsi="Arial" w:cs="Arial"/>
          <w:b/>
          <w:color w:val="0000CC"/>
          <w:lang w:val="fr-FR"/>
        </w:rPr>
        <w:t>es connectées aux broches de port d</w:t>
      </w:r>
      <w:r w:rsidR="00661BA6">
        <w:rPr>
          <w:rFonts w:ascii="Arial" w:hAnsi="Arial" w:cs="Arial"/>
          <w:b/>
          <w:color w:val="0000CC"/>
          <w:lang w:val="fr-FR"/>
        </w:rPr>
        <w:t>e sortie</w:t>
      </w:r>
      <w:r>
        <w:rPr>
          <w:rFonts w:ascii="Arial" w:hAnsi="Arial" w:cs="Arial"/>
          <w:b/>
          <w:color w:val="0000CC"/>
          <w:lang w:val="fr-FR"/>
        </w:rPr>
        <w:t xml:space="preserve"> du µC de même appellation ;</w:t>
      </w:r>
    </w:p>
    <w:p w14:paraId="4E48742F" w14:textId="77777777" w:rsidR="002F4096" w:rsidRDefault="002F4096" w:rsidP="00C86797">
      <w:pPr>
        <w:pStyle w:val="Sansinterligne"/>
        <w:numPr>
          <w:ilvl w:val="0"/>
          <w:numId w:val="16"/>
        </w:numPr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GPIO16, GPIO17, GPIO27 et IO3 sont des sorties ou des entrées connectées aux broches de port d’E/S du µC de même appellation ;</w:t>
      </w:r>
    </w:p>
    <w:p w14:paraId="4E487430" w14:textId="77777777" w:rsidR="002F4096" w:rsidRDefault="002F4096" w:rsidP="00C86797">
      <w:pPr>
        <w:pStyle w:val="Sansinterligne"/>
        <w:numPr>
          <w:ilvl w:val="0"/>
          <w:numId w:val="16"/>
        </w:numPr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IRQ_I2C</w:t>
      </w:r>
      <w:r w:rsidR="00FF34A1">
        <w:rPr>
          <w:rFonts w:ascii="Arial" w:hAnsi="Arial" w:cs="Arial"/>
          <w:b/>
          <w:color w:val="0000CC"/>
          <w:lang w:val="fr-FR"/>
        </w:rPr>
        <w:t xml:space="preserve"> est une entrée permettant de transmettre à la carte fille </w:t>
      </w:r>
      <w:r w:rsidR="00661BA6">
        <w:rPr>
          <w:rFonts w:ascii="Arial" w:hAnsi="Arial" w:cs="Arial"/>
          <w:b/>
          <w:color w:val="0000CC"/>
          <w:lang w:val="fr-FR"/>
        </w:rPr>
        <w:t>une requête d’interruption ;</w:t>
      </w:r>
    </w:p>
    <w:p w14:paraId="4E487431" w14:textId="77777777" w:rsidR="00661BA6" w:rsidRPr="0063664B" w:rsidRDefault="00661BA6" w:rsidP="00C86797">
      <w:pPr>
        <w:pStyle w:val="Sansinterligne"/>
        <w:numPr>
          <w:ilvl w:val="0"/>
          <w:numId w:val="16"/>
        </w:numPr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lastRenderedPageBreak/>
        <w:t>/RST est une entrée permettant, à partir du signal de reset /RST</w:t>
      </w:r>
      <w:r w:rsidR="00FF34A1">
        <w:rPr>
          <w:rFonts w:ascii="Arial" w:hAnsi="Arial" w:cs="Arial"/>
          <w:b/>
          <w:color w:val="0000CC"/>
          <w:lang w:val="fr-FR"/>
        </w:rPr>
        <w:t xml:space="preserve"> de la carte End </w:t>
      </w:r>
      <w:proofErr w:type="spellStart"/>
      <w:r w:rsidR="00FF34A1">
        <w:rPr>
          <w:rFonts w:ascii="Arial" w:hAnsi="Arial" w:cs="Arial"/>
          <w:b/>
          <w:color w:val="0000CC"/>
          <w:lang w:val="fr-FR"/>
        </w:rPr>
        <w:t>Device</w:t>
      </w:r>
      <w:proofErr w:type="spellEnd"/>
      <w:r>
        <w:rPr>
          <w:rFonts w:ascii="Arial" w:hAnsi="Arial" w:cs="Arial"/>
          <w:b/>
          <w:color w:val="0000CC"/>
          <w:lang w:val="fr-FR"/>
        </w:rPr>
        <w:t>, de commander l’i</w:t>
      </w:r>
      <w:r w:rsidR="00FF34A1">
        <w:rPr>
          <w:rFonts w:ascii="Arial" w:hAnsi="Arial" w:cs="Arial"/>
          <w:b/>
          <w:color w:val="0000CC"/>
          <w:lang w:val="fr-FR"/>
        </w:rPr>
        <w:t>nitialisation de la carte fille ;</w:t>
      </w:r>
    </w:p>
    <w:p w14:paraId="4E487432" w14:textId="77777777" w:rsidR="00A33818" w:rsidRDefault="00661BA6" w:rsidP="00661BA6">
      <w:pPr>
        <w:pStyle w:val="Sansinterligne"/>
        <w:numPr>
          <w:ilvl w:val="0"/>
          <w:numId w:val="16"/>
        </w:numPr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3.3V, 5V et VCC_EXT sont des entrées permettant d’alimenter la carte fille</w:t>
      </w:r>
      <w:r w:rsidR="00FF34A1">
        <w:rPr>
          <w:rFonts w:ascii="Arial" w:hAnsi="Arial" w:cs="Arial"/>
          <w:b/>
          <w:color w:val="0000CC"/>
          <w:lang w:val="fr-FR"/>
        </w:rPr>
        <w:t xml:space="preserve"> à partir de la carte End </w:t>
      </w:r>
      <w:proofErr w:type="spellStart"/>
      <w:r w:rsidR="00FF34A1">
        <w:rPr>
          <w:rFonts w:ascii="Arial" w:hAnsi="Arial" w:cs="Arial"/>
          <w:b/>
          <w:color w:val="0000CC"/>
          <w:lang w:val="fr-FR"/>
        </w:rPr>
        <w:t>Device</w:t>
      </w:r>
      <w:proofErr w:type="spellEnd"/>
      <w:r>
        <w:rPr>
          <w:rFonts w:ascii="Arial" w:hAnsi="Arial" w:cs="Arial"/>
          <w:b/>
          <w:color w:val="0000CC"/>
          <w:lang w:val="fr-FR"/>
        </w:rPr>
        <w:t> ;</w:t>
      </w:r>
    </w:p>
    <w:p w14:paraId="4E487433" w14:textId="77777777" w:rsidR="00661BA6" w:rsidRDefault="00661BA6" w:rsidP="00661BA6">
      <w:pPr>
        <w:pStyle w:val="Sansinterligne"/>
        <w:numPr>
          <w:ilvl w:val="0"/>
          <w:numId w:val="16"/>
        </w:numPr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 xml:space="preserve">0V constitue le potentiel de référence commun à la carte End </w:t>
      </w:r>
      <w:proofErr w:type="spellStart"/>
      <w:r>
        <w:rPr>
          <w:rFonts w:ascii="Arial" w:hAnsi="Arial" w:cs="Arial"/>
          <w:b/>
          <w:color w:val="0000CC"/>
          <w:lang w:val="fr-FR"/>
        </w:rPr>
        <w:t>Device</w:t>
      </w:r>
      <w:proofErr w:type="spellEnd"/>
      <w:r>
        <w:rPr>
          <w:rFonts w:ascii="Arial" w:hAnsi="Arial" w:cs="Arial"/>
          <w:b/>
          <w:color w:val="0000CC"/>
          <w:lang w:val="fr-FR"/>
        </w:rPr>
        <w:t xml:space="preserve"> et à la carte fille (il ne s’agit </w:t>
      </w:r>
      <w:r w:rsidR="00FF34A1">
        <w:rPr>
          <w:rFonts w:ascii="Arial" w:hAnsi="Arial" w:cs="Arial"/>
          <w:b/>
          <w:color w:val="0000CC"/>
          <w:lang w:val="fr-FR"/>
        </w:rPr>
        <w:t xml:space="preserve">donc </w:t>
      </w:r>
      <w:r>
        <w:rPr>
          <w:rFonts w:ascii="Arial" w:hAnsi="Arial" w:cs="Arial"/>
          <w:b/>
          <w:color w:val="0000CC"/>
          <w:lang w:val="fr-FR"/>
        </w:rPr>
        <w:t>ni d’une entrée ni d’une sortie).</w:t>
      </w:r>
    </w:p>
    <w:p w14:paraId="4E487434" w14:textId="77777777" w:rsidR="00BF29ED" w:rsidRDefault="00BF29ED" w:rsidP="00BF29ED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 xml:space="preserve">Dans cette description, nous avons supposé que le composant I2C ou SPI intégré à la carte fille était configuré en tant qu’esclave alors que l’interface SPI ou I2C </w:t>
      </w:r>
      <w:r w:rsidR="00E7077F">
        <w:rPr>
          <w:rFonts w:ascii="Arial" w:hAnsi="Arial" w:cs="Arial"/>
          <w:b/>
          <w:color w:val="0000CC"/>
          <w:lang w:val="fr-FR"/>
        </w:rPr>
        <w:t xml:space="preserve">du µC de la carte End </w:t>
      </w:r>
      <w:proofErr w:type="spellStart"/>
      <w:r w:rsidR="00E7077F">
        <w:rPr>
          <w:rFonts w:ascii="Arial" w:hAnsi="Arial" w:cs="Arial"/>
          <w:b/>
          <w:color w:val="0000CC"/>
          <w:lang w:val="fr-FR"/>
        </w:rPr>
        <w:t>Device</w:t>
      </w:r>
      <w:proofErr w:type="spellEnd"/>
      <w:r w:rsidR="00E7077F">
        <w:rPr>
          <w:rFonts w:ascii="Arial" w:hAnsi="Arial" w:cs="Arial"/>
          <w:b/>
          <w:color w:val="0000CC"/>
          <w:lang w:val="fr-FR"/>
        </w:rPr>
        <w:t xml:space="preserve"> </w:t>
      </w:r>
      <w:r>
        <w:rPr>
          <w:rFonts w:ascii="Arial" w:hAnsi="Arial" w:cs="Arial"/>
          <w:b/>
          <w:color w:val="0000CC"/>
          <w:lang w:val="fr-FR"/>
        </w:rPr>
        <w:t>était configurée en maître (cas le plus usuel). Mais on pourrait envisager le cas complémentaire. Dans ce cas, le sens de transit des signaux serait évidemment inversé.</w:t>
      </w:r>
    </w:p>
    <w:p w14:paraId="4E487435" w14:textId="77777777" w:rsidR="00661BA6" w:rsidRPr="00661BA6" w:rsidRDefault="00661BA6" w:rsidP="00FF34A1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</w:p>
    <w:p w14:paraId="4E487436" w14:textId="77777777" w:rsidR="008D3D5E" w:rsidRDefault="008D3D5E" w:rsidP="00F51A25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Indiquer les restrictions sur la mise en œuvre d’une carte fille.</w:t>
      </w:r>
    </w:p>
    <w:p w14:paraId="4E487437" w14:textId="77777777" w:rsidR="00FF34A1" w:rsidRPr="00FF34A1" w:rsidRDefault="00FF34A1" w:rsidP="00FF34A1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Afin d’éviter tout conflit :</w:t>
      </w:r>
    </w:p>
    <w:p w14:paraId="4E487438" w14:textId="77777777" w:rsidR="00F51A25" w:rsidRDefault="00FF34A1" w:rsidP="00FF34A1">
      <w:pPr>
        <w:pStyle w:val="Sansinterligne"/>
        <w:numPr>
          <w:ilvl w:val="0"/>
          <w:numId w:val="17"/>
        </w:numPr>
        <w:jc w:val="both"/>
        <w:rPr>
          <w:rFonts w:ascii="Arial" w:hAnsi="Arial" w:cs="Arial"/>
          <w:b/>
          <w:color w:val="0000CC"/>
          <w:lang w:val="fr-FR"/>
        </w:rPr>
      </w:pPr>
      <w:proofErr w:type="gramStart"/>
      <w:r>
        <w:rPr>
          <w:rFonts w:ascii="Arial" w:hAnsi="Arial" w:cs="Arial"/>
          <w:b/>
          <w:color w:val="0000CC"/>
          <w:lang w:val="fr-FR"/>
        </w:rPr>
        <w:t>la</w:t>
      </w:r>
      <w:proofErr w:type="gramEnd"/>
      <w:r>
        <w:rPr>
          <w:rFonts w:ascii="Arial" w:hAnsi="Arial" w:cs="Arial"/>
          <w:b/>
          <w:color w:val="0000CC"/>
          <w:lang w:val="fr-FR"/>
        </w:rPr>
        <w:t xml:space="preserve"> conversion analogique numérique de la tension ADC1 issue de la carte fille n’est possible qu’à la condition </w:t>
      </w:r>
      <w:r w:rsidR="00BF29ED">
        <w:rPr>
          <w:rFonts w:ascii="Arial" w:hAnsi="Arial" w:cs="Arial"/>
          <w:b/>
          <w:color w:val="0000CC"/>
          <w:lang w:val="fr-FR"/>
        </w:rPr>
        <w:t xml:space="preserve">que la fonction « Elaboration d’une tension continue d’amplitude ajustable » soit désactivée, c’est à dire </w:t>
      </w:r>
      <w:r>
        <w:rPr>
          <w:rFonts w:ascii="Arial" w:hAnsi="Arial" w:cs="Arial"/>
          <w:b/>
          <w:color w:val="0000CC"/>
          <w:lang w:val="fr-FR"/>
        </w:rPr>
        <w:t>que le cavalier J14 soit ouvert ;</w:t>
      </w:r>
    </w:p>
    <w:p w14:paraId="4E487439" w14:textId="77777777" w:rsidR="00FF34A1" w:rsidRDefault="00FF34A1" w:rsidP="00FF34A1">
      <w:pPr>
        <w:pStyle w:val="Sansinterligne"/>
        <w:numPr>
          <w:ilvl w:val="0"/>
          <w:numId w:val="17"/>
        </w:numPr>
        <w:jc w:val="both"/>
        <w:rPr>
          <w:rFonts w:ascii="Arial" w:hAnsi="Arial" w:cs="Arial"/>
          <w:b/>
          <w:color w:val="0000CC"/>
          <w:lang w:val="fr-FR"/>
        </w:rPr>
      </w:pPr>
      <w:proofErr w:type="gramStart"/>
      <w:r>
        <w:rPr>
          <w:rFonts w:ascii="Arial" w:hAnsi="Arial" w:cs="Arial"/>
          <w:b/>
          <w:color w:val="0000CC"/>
          <w:lang w:val="fr-FR"/>
        </w:rPr>
        <w:t>l’implantation</w:t>
      </w:r>
      <w:proofErr w:type="gramEnd"/>
      <w:r>
        <w:rPr>
          <w:rFonts w:ascii="Arial" w:hAnsi="Arial" w:cs="Arial"/>
          <w:b/>
          <w:color w:val="0000CC"/>
          <w:lang w:val="fr-FR"/>
        </w:rPr>
        <w:t>, sur la carte fille, d’un composant numérique doté d’une interface SPI</w:t>
      </w:r>
      <w:r w:rsidR="00BF29ED">
        <w:rPr>
          <w:rFonts w:ascii="Arial" w:hAnsi="Arial" w:cs="Arial"/>
          <w:b/>
          <w:color w:val="0000CC"/>
          <w:lang w:val="fr-FR"/>
        </w:rPr>
        <w:t xml:space="preserve"> suppose que la fonction « C</w:t>
      </w:r>
      <w:r>
        <w:rPr>
          <w:rFonts w:ascii="Arial" w:hAnsi="Arial" w:cs="Arial"/>
          <w:b/>
          <w:color w:val="0000CC"/>
          <w:lang w:val="fr-FR"/>
        </w:rPr>
        <w:t>apteur de température, d’humidité et de pression</w:t>
      </w:r>
      <w:r w:rsidR="00BF29ED">
        <w:rPr>
          <w:rFonts w:ascii="Arial" w:hAnsi="Arial" w:cs="Arial"/>
          <w:b/>
          <w:color w:val="0000CC"/>
          <w:lang w:val="fr-FR"/>
        </w:rPr>
        <w:t> »</w:t>
      </w:r>
      <w:r>
        <w:rPr>
          <w:rFonts w:ascii="Arial" w:hAnsi="Arial" w:cs="Arial"/>
          <w:b/>
          <w:color w:val="0000CC"/>
          <w:lang w:val="fr-FR"/>
        </w:rPr>
        <w:t xml:space="preserve"> de la carte End </w:t>
      </w:r>
      <w:proofErr w:type="spellStart"/>
      <w:r>
        <w:rPr>
          <w:rFonts w:ascii="Arial" w:hAnsi="Arial" w:cs="Arial"/>
          <w:b/>
          <w:color w:val="0000CC"/>
          <w:lang w:val="fr-FR"/>
        </w:rPr>
        <w:t>Device</w:t>
      </w:r>
      <w:proofErr w:type="spellEnd"/>
      <w:r>
        <w:rPr>
          <w:rFonts w:ascii="Arial" w:hAnsi="Arial" w:cs="Arial"/>
          <w:b/>
          <w:color w:val="0000CC"/>
          <w:lang w:val="fr-FR"/>
        </w:rPr>
        <w:t xml:space="preserve"> soit désactivé</w:t>
      </w:r>
      <w:r w:rsidR="00BF29ED">
        <w:rPr>
          <w:rFonts w:ascii="Arial" w:hAnsi="Arial" w:cs="Arial"/>
          <w:b/>
          <w:color w:val="0000CC"/>
          <w:lang w:val="fr-FR"/>
        </w:rPr>
        <w:t>e</w:t>
      </w:r>
      <w:r>
        <w:rPr>
          <w:rFonts w:ascii="Arial" w:hAnsi="Arial" w:cs="Arial"/>
          <w:b/>
          <w:color w:val="0000CC"/>
          <w:lang w:val="fr-FR"/>
        </w:rPr>
        <w:t>, c’est-à-dire que le cavalier J</w:t>
      </w:r>
      <w:r w:rsidR="00BF29ED">
        <w:rPr>
          <w:rFonts w:ascii="Arial" w:hAnsi="Arial" w:cs="Arial"/>
          <w:b/>
          <w:color w:val="0000CC"/>
          <w:lang w:val="fr-FR"/>
        </w:rPr>
        <w:t>15 soit ouvert ;</w:t>
      </w:r>
    </w:p>
    <w:p w14:paraId="4E48743A" w14:textId="77777777" w:rsidR="00BF29ED" w:rsidRPr="00FF34A1" w:rsidRDefault="00BF29ED" w:rsidP="00FF34A1">
      <w:pPr>
        <w:pStyle w:val="Sansinterligne"/>
        <w:numPr>
          <w:ilvl w:val="0"/>
          <w:numId w:val="17"/>
        </w:numPr>
        <w:jc w:val="both"/>
        <w:rPr>
          <w:rFonts w:ascii="Arial" w:hAnsi="Arial" w:cs="Arial"/>
          <w:b/>
          <w:color w:val="0000CC"/>
          <w:lang w:val="fr-FR"/>
        </w:rPr>
      </w:pPr>
      <w:proofErr w:type="gramStart"/>
      <w:r>
        <w:rPr>
          <w:rFonts w:ascii="Arial" w:hAnsi="Arial" w:cs="Arial"/>
          <w:b/>
          <w:color w:val="0000CC"/>
          <w:lang w:val="fr-FR"/>
        </w:rPr>
        <w:t>les</w:t>
      </w:r>
      <w:proofErr w:type="gramEnd"/>
      <w:r>
        <w:rPr>
          <w:rFonts w:ascii="Arial" w:hAnsi="Arial" w:cs="Arial"/>
          <w:b/>
          <w:color w:val="0000CC"/>
          <w:lang w:val="fr-FR"/>
        </w:rPr>
        <w:t xml:space="preserve"> broches GPIO16 et GPIO27 des connecteurs J6 et J9 ne sont utilisables en broches de port d’E/S qu’à condition que les cavaliers J22 et J47 soient ouverts.</w:t>
      </w:r>
    </w:p>
    <w:p w14:paraId="4E48743B" w14:textId="77777777" w:rsidR="00F51A25" w:rsidRPr="00F51A25" w:rsidRDefault="00F51A25" w:rsidP="00F51A25">
      <w:pPr>
        <w:pStyle w:val="Sansinterligne"/>
        <w:jc w:val="both"/>
        <w:rPr>
          <w:rFonts w:ascii="Arial" w:hAnsi="Arial" w:cs="Arial"/>
          <w:lang w:val="fr-FR"/>
        </w:rPr>
      </w:pPr>
    </w:p>
    <w:sectPr w:rsidR="00F51A25" w:rsidRPr="00F51A25" w:rsidSect="00C275F2"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87441" w14:textId="77777777" w:rsidR="00CA3ED3" w:rsidRDefault="00CA3ED3" w:rsidP="00BA01A2">
      <w:pPr>
        <w:spacing w:after="0" w:line="240" w:lineRule="auto"/>
      </w:pPr>
      <w:r>
        <w:separator/>
      </w:r>
    </w:p>
  </w:endnote>
  <w:endnote w:type="continuationSeparator" w:id="0">
    <w:p w14:paraId="4E487442" w14:textId="77777777" w:rsidR="00CA3ED3" w:rsidRDefault="00CA3ED3" w:rsidP="00BA0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87443" w14:textId="77777777" w:rsidR="00BA01A2" w:rsidRPr="006D22DD" w:rsidRDefault="006D22DD">
    <w:pPr>
      <w:pStyle w:val="Pieddepage"/>
      <w:rPr>
        <w:rFonts w:ascii="Arial" w:hAnsi="Arial" w:cs="Arial"/>
        <w:b/>
        <w:sz w:val="16"/>
        <w:szCs w:val="16"/>
        <w:lang w:val="fr-FR"/>
      </w:rPr>
    </w:pPr>
    <w:proofErr w:type="spellStart"/>
    <w:r w:rsidRPr="006D22DD">
      <w:rPr>
        <w:rFonts w:ascii="Arial" w:hAnsi="Arial" w:cs="Arial"/>
        <w:b/>
        <w:sz w:val="16"/>
        <w:szCs w:val="16"/>
        <w:lang w:val="fr-FR"/>
      </w:rPr>
      <w:t>D</w:t>
    </w:r>
    <w:r>
      <w:rPr>
        <w:rFonts w:ascii="Arial" w:hAnsi="Arial" w:cs="Arial"/>
        <w:b/>
        <w:sz w:val="16"/>
        <w:szCs w:val="16"/>
        <w:lang w:val="fr-FR"/>
      </w:rPr>
      <w:t>idalab</w:t>
    </w:r>
    <w:proofErr w:type="spellEnd"/>
    <w:r w:rsidR="00BA01A2" w:rsidRPr="00BA01A2">
      <w:rPr>
        <w:rFonts w:ascii="Arial" w:hAnsi="Arial" w:cs="Arial"/>
        <w:b/>
        <w:sz w:val="16"/>
        <w:szCs w:val="16"/>
      </w:rPr>
      <w:ptab w:relativeTo="margin" w:alignment="center" w:leader="none"/>
    </w:r>
    <w:r w:rsidR="00983F18" w:rsidRPr="00983F18">
      <w:rPr>
        <w:rFonts w:ascii="Arial" w:hAnsi="Arial" w:cs="Arial"/>
        <w:b/>
        <w:sz w:val="16"/>
        <w:szCs w:val="16"/>
        <w:lang w:val="fr-FR"/>
      </w:rPr>
      <w:t xml:space="preserve">Carte </w:t>
    </w:r>
    <w:r w:rsidR="003D4B54">
      <w:rPr>
        <w:rFonts w:ascii="Arial" w:hAnsi="Arial" w:cs="Arial"/>
        <w:b/>
        <w:sz w:val="16"/>
        <w:szCs w:val="16"/>
        <w:lang w:val="fr-FR"/>
      </w:rPr>
      <w:t xml:space="preserve">End </w:t>
    </w:r>
    <w:proofErr w:type="spellStart"/>
    <w:r w:rsidR="003D4B54">
      <w:rPr>
        <w:rFonts w:ascii="Arial" w:hAnsi="Arial" w:cs="Arial"/>
        <w:b/>
        <w:sz w:val="16"/>
        <w:szCs w:val="16"/>
        <w:lang w:val="fr-FR"/>
      </w:rPr>
      <w:t>Dev</w:t>
    </w:r>
    <w:r w:rsidR="0044245E">
      <w:rPr>
        <w:rFonts w:ascii="Arial" w:hAnsi="Arial" w:cs="Arial"/>
        <w:b/>
        <w:sz w:val="16"/>
        <w:szCs w:val="16"/>
        <w:lang w:val="fr-FR"/>
      </w:rPr>
      <w:t>ice</w:t>
    </w:r>
    <w:proofErr w:type="spellEnd"/>
    <w:r w:rsidR="0044245E">
      <w:rPr>
        <w:rFonts w:ascii="Arial" w:hAnsi="Arial" w:cs="Arial"/>
        <w:b/>
        <w:sz w:val="16"/>
        <w:szCs w:val="16"/>
        <w:lang w:val="fr-FR"/>
      </w:rPr>
      <w:t xml:space="preserve"> – Capacités d’extension</w:t>
    </w:r>
    <w:r w:rsidR="00BA01A2" w:rsidRPr="00BA01A2">
      <w:rPr>
        <w:rFonts w:ascii="Arial" w:hAnsi="Arial" w:cs="Arial"/>
        <w:b/>
        <w:sz w:val="16"/>
        <w:szCs w:val="16"/>
      </w:rPr>
      <w:ptab w:relativeTo="margin" w:alignment="right" w:leader="none"/>
    </w:r>
    <w:proofErr w:type="spellStart"/>
    <w:r w:rsidRPr="006D22DD">
      <w:rPr>
        <w:rFonts w:ascii="Arial" w:hAnsi="Arial" w:cs="Arial"/>
        <w:b/>
        <w:sz w:val="16"/>
        <w:szCs w:val="16"/>
        <w:lang w:val="fr-FR"/>
      </w:rPr>
      <w:t>D</w:t>
    </w:r>
    <w:r>
      <w:rPr>
        <w:rFonts w:ascii="Arial" w:hAnsi="Arial" w:cs="Arial"/>
        <w:b/>
        <w:sz w:val="16"/>
        <w:szCs w:val="16"/>
        <w:lang w:val="fr-FR"/>
      </w:rPr>
      <w:t>id@LoRaWAN</w:t>
    </w:r>
    <w:proofErr w:type="spellEnd"/>
  </w:p>
  <w:p w14:paraId="4E487444" w14:textId="77777777" w:rsidR="00BA01A2" w:rsidRPr="00026966" w:rsidRDefault="00026966" w:rsidP="00026966">
    <w:pPr>
      <w:pStyle w:val="Pieddepage"/>
      <w:jc w:val="center"/>
      <w:rPr>
        <w:rFonts w:ascii="Arial" w:hAnsi="Arial" w:cs="Arial"/>
        <w:b/>
        <w:color w:val="0000CC"/>
        <w:sz w:val="16"/>
        <w:szCs w:val="16"/>
        <w:lang w:val="fr-FR"/>
      </w:rPr>
    </w:pPr>
    <w:r>
      <w:rPr>
        <w:rFonts w:ascii="Arial" w:hAnsi="Arial" w:cs="Arial"/>
        <w:b/>
        <w:color w:val="0000CC"/>
        <w:sz w:val="16"/>
        <w:szCs w:val="16"/>
        <w:lang w:val="fr-FR"/>
      </w:rPr>
      <w:t>Correction</w:t>
    </w:r>
  </w:p>
  <w:p w14:paraId="4E487445" w14:textId="77777777" w:rsidR="00BA01A2" w:rsidRPr="00BA01A2" w:rsidRDefault="00BA01A2" w:rsidP="00BA01A2">
    <w:pPr>
      <w:pStyle w:val="Pieddepage"/>
      <w:jc w:val="center"/>
      <w:rPr>
        <w:rFonts w:ascii="Arial" w:hAnsi="Arial" w:cs="Arial"/>
        <w:b/>
        <w:sz w:val="16"/>
        <w:szCs w:val="16"/>
        <w:lang w:val="fr-FR"/>
      </w:rPr>
    </w:pPr>
    <w:r w:rsidRPr="00BA01A2">
      <w:rPr>
        <w:rFonts w:ascii="Arial" w:hAnsi="Arial" w:cs="Arial"/>
        <w:b/>
        <w:sz w:val="16"/>
        <w:szCs w:val="16"/>
        <w:lang w:val="fr-FR"/>
      </w:rPr>
      <w:t xml:space="preserve">Page </w: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begin"/>
    </w:r>
    <w:r w:rsidRPr="00BA01A2">
      <w:rPr>
        <w:rFonts w:ascii="Arial" w:hAnsi="Arial" w:cs="Arial"/>
        <w:b/>
        <w:bCs/>
        <w:sz w:val="16"/>
        <w:szCs w:val="16"/>
        <w:lang w:val="fr-FR"/>
      </w:rPr>
      <w:instrText>PAGE  \* Arabic  \* MERGEFORMAT</w:instrTex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separate"/>
    </w:r>
    <w:r w:rsidR="00C275F2">
      <w:rPr>
        <w:rFonts w:ascii="Arial" w:hAnsi="Arial" w:cs="Arial"/>
        <w:b/>
        <w:bCs/>
        <w:noProof/>
        <w:sz w:val="16"/>
        <w:szCs w:val="16"/>
        <w:lang w:val="fr-FR"/>
      </w:rPr>
      <w:t>3</w: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end"/>
    </w:r>
    <w:r w:rsidRPr="00BA01A2">
      <w:rPr>
        <w:rFonts w:ascii="Arial" w:hAnsi="Arial" w:cs="Arial"/>
        <w:b/>
        <w:sz w:val="16"/>
        <w:szCs w:val="16"/>
        <w:lang w:val="fr-FR"/>
      </w:rPr>
      <w:t xml:space="preserve"> sur </w: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begin"/>
    </w:r>
    <w:r w:rsidRPr="00BA01A2">
      <w:rPr>
        <w:rFonts w:ascii="Arial" w:hAnsi="Arial" w:cs="Arial"/>
        <w:b/>
        <w:bCs/>
        <w:sz w:val="16"/>
        <w:szCs w:val="16"/>
        <w:lang w:val="fr-FR"/>
      </w:rPr>
      <w:instrText>NUMPAGES  \* Arabic  \* MERGEFORMAT</w:instrTex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separate"/>
    </w:r>
    <w:r w:rsidR="00C275F2">
      <w:rPr>
        <w:rFonts w:ascii="Arial" w:hAnsi="Arial" w:cs="Arial"/>
        <w:b/>
        <w:bCs/>
        <w:noProof/>
        <w:sz w:val="16"/>
        <w:szCs w:val="16"/>
        <w:lang w:val="fr-FR"/>
      </w:rPr>
      <w:t>3</w: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8743F" w14:textId="77777777" w:rsidR="00CA3ED3" w:rsidRDefault="00CA3ED3" w:rsidP="00BA01A2">
      <w:pPr>
        <w:spacing w:after="0" w:line="240" w:lineRule="auto"/>
      </w:pPr>
      <w:r>
        <w:separator/>
      </w:r>
    </w:p>
  </w:footnote>
  <w:footnote w:type="continuationSeparator" w:id="0">
    <w:p w14:paraId="4E487440" w14:textId="77777777" w:rsidR="00CA3ED3" w:rsidRDefault="00CA3ED3" w:rsidP="00BA0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60491"/>
    <w:multiLevelType w:val="hybridMultilevel"/>
    <w:tmpl w:val="FB78CF2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90198"/>
    <w:multiLevelType w:val="hybridMultilevel"/>
    <w:tmpl w:val="E9CCD5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A34382"/>
    <w:multiLevelType w:val="multilevel"/>
    <w:tmpl w:val="BFA25C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DAA2E67"/>
    <w:multiLevelType w:val="multilevel"/>
    <w:tmpl w:val="D820C87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FC77FB"/>
    <w:multiLevelType w:val="hybridMultilevel"/>
    <w:tmpl w:val="79260C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01220B"/>
    <w:multiLevelType w:val="hybridMultilevel"/>
    <w:tmpl w:val="B69E6BF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A23021"/>
    <w:multiLevelType w:val="hybridMultilevel"/>
    <w:tmpl w:val="636456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C48CF"/>
    <w:multiLevelType w:val="hybridMultilevel"/>
    <w:tmpl w:val="FAB6A1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C7D0E"/>
    <w:multiLevelType w:val="multilevel"/>
    <w:tmpl w:val="AAB08D6A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359136BE"/>
    <w:multiLevelType w:val="multilevel"/>
    <w:tmpl w:val="991E8D8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49C4776"/>
    <w:multiLevelType w:val="hybridMultilevel"/>
    <w:tmpl w:val="6166E1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B97B82"/>
    <w:multiLevelType w:val="multilevel"/>
    <w:tmpl w:val="24A0612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EDA55EE"/>
    <w:multiLevelType w:val="multilevel"/>
    <w:tmpl w:val="02585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597577B"/>
    <w:multiLevelType w:val="hybridMultilevel"/>
    <w:tmpl w:val="C25AB0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8340D7"/>
    <w:multiLevelType w:val="multilevel"/>
    <w:tmpl w:val="9806C8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8DE34CB"/>
    <w:multiLevelType w:val="multilevel"/>
    <w:tmpl w:val="02585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9AA38F7"/>
    <w:multiLevelType w:val="multilevel"/>
    <w:tmpl w:val="BFA25C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495492733">
    <w:abstractNumId w:val="9"/>
  </w:num>
  <w:num w:numId="2" w16cid:durableId="883715647">
    <w:abstractNumId w:val="5"/>
  </w:num>
  <w:num w:numId="3" w16cid:durableId="1981615066">
    <w:abstractNumId w:val="6"/>
  </w:num>
  <w:num w:numId="4" w16cid:durableId="1745686596">
    <w:abstractNumId w:val="12"/>
  </w:num>
  <w:num w:numId="5" w16cid:durableId="1381200601">
    <w:abstractNumId w:val="15"/>
  </w:num>
  <w:num w:numId="6" w16cid:durableId="981883190">
    <w:abstractNumId w:val="11"/>
  </w:num>
  <w:num w:numId="7" w16cid:durableId="1291739450">
    <w:abstractNumId w:val="3"/>
  </w:num>
  <w:num w:numId="8" w16cid:durableId="591164078">
    <w:abstractNumId w:val="2"/>
  </w:num>
  <w:num w:numId="9" w16cid:durableId="420031302">
    <w:abstractNumId w:val="14"/>
  </w:num>
  <w:num w:numId="10" w16cid:durableId="1333028301">
    <w:abstractNumId w:val="16"/>
  </w:num>
  <w:num w:numId="11" w16cid:durableId="1496871796">
    <w:abstractNumId w:val="8"/>
  </w:num>
  <w:num w:numId="12" w16cid:durableId="1393650401">
    <w:abstractNumId w:val="0"/>
  </w:num>
  <w:num w:numId="13" w16cid:durableId="924001061">
    <w:abstractNumId w:val="13"/>
  </w:num>
  <w:num w:numId="14" w16cid:durableId="1124928094">
    <w:abstractNumId w:val="7"/>
  </w:num>
  <w:num w:numId="15" w16cid:durableId="298075786">
    <w:abstractNumId w:val="4"/>
  </w:num>
  <w:num w:numId="16" w16cid:durableId="716978780">
    <w:abstractNumId w:val="1"/>
  </w:num>
  <w:num w:numId="17" w16cid:durableId="116039048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B47"/>
    <w:rsid w:val="0000205C"/>
    <w:rsid w:val="00005721"/>
    <w:rsid w:val="00026966"/>
    <w:rsid w:val="0005494F"/>
    <w:rsid w:val="000823A7"/>
    <w:rsid w:val="000954AE"/>
    <w:rsid w:val="000D6964"/>
    <w:rsid w:val="000E53E5"/>
    <w:rsid w:val="000F0A59"/>
    <w:rsid w:val="00100662"/>
    <w:rsid w:val="001C262D"/>
    <w:rsid w:val="00226765"/>
    <w:rsid w:val="0026415E"/>
    <w:rsid w:val="002828CC"/>
    <w:rsid w:val="002E5F3B"/>
    <w:rsid w:val="002F26AA"/>
    <w:rsid w:val="002F4096"/>
    <w:rsid w:val="00316BC7"/>
    <w:rsid w:val="0033250F"/>
    <w:rsid w:val="00361133"/>
    <w:rsid w:val="00366345"/>
    <w:rsid w:val="003D4B54"/>
    <w:rsid w:val="00412F4F"/>
    <w:rsid w:val="004163D3"/>
    <w:rsid w:val="00433114"/>
    <w:rsid w:val="00437583"/>
    <w:rsid w:val="0044245E"/>
    <w:rsid w:val="004510CA"/>
    <w:rsid w:val="0046747E"/>
    <w:rsid w:val="00492F00"/>
    <w:rsid w:val="004C034F"/>
    <w:rsid w:val="004D3F69"/>
    <w:rsid w:val="004E0927"/>
    <w:rsid w:val="004E781D"/>
    <w:rsid w:val="00501F81"/>
    <w:rsid w:val="005074CF"/>
    <w:rsid w:val="00514073"/>
    <w:rsid w:val="00534792"/>
    <w:rsid w:val="00563C94"/>
    <w:rsid w:val="00577EB3"/>
    <w:rsid w:val="005A261D"/>
    <w:rsid w:val="005B0C81"/>
    <w:rsid w:val="005C2190"/>
    <w:rsid w:val="005E22BF"/>
    <w:rsid w:val="006169B2"/>
    <w:rsid w:val="006179DA"/>
    <w:rsid w:val="006219A4"/>
    <w:rsid w:val="00623AA5"/>
    <w:rsid w:val="0063664B"/>
    <w:rsid w:val="00661BA6"/>
    <w:rsid w:val="006D1981"/>
    <w:rsid w:val="006D22DD"/>
    <w:rsid w:val="006E3DEB"/>
    <w:rsid w:val="006E496F"/>
    <w:rsid w:val="007168D1"/>
    <w:rsid w:val="007225F8"/>
    <w:rsid w:val="00722692"/>
    <w:rsid w:val="00740BDC"/>
    <w:rsid w:val="007423FA"/>
    <w:rsid w:val="0077634E"/>
    <w:rsid w:val="00791760"/>
    <w:rsid w:val="007B5717"/>
    <w:rsid w:val="00835833"/>
    <w:rsid w:val="00870443"/>
    <w:rsid w:val="008C472C"/>
    <w:rsid w:val="008D0F2E"/>
    <w:rsid w:val="008D3D5E"/>
    <w:rsid w:val="008E5B47"/>
    <w:rsid w:val="0092152E"/>
    <w:rsid w:val="00953712"/>
    <w:rsid w:val="00983F18"/>
    <w:rsid w:val="00A13FAA"/>
    <w:rsid w:val="00A220FD"/>
    <w:rsid w:val="00A33818"/>
    <w:rsid w:val="00B44BEA"/>
    <w:rsid w:val="00B470A0"/>
    <w:rsid w:val="00B64243"/>
    <w:rsid w:val="00BA01A2"/>
    <w:rsid w:val="00BA6657"/>
    <w:rsid w:val="00BB7779"/>
    <w:rsid w:val="00BC331B"/>
    <w:rsid w:val="00BF29ED"/>
    <w:rsid w:val="00C275F2"/>
    <w:rsid w:val="00C415D8"/>
    <w:rsid w:val="00C60C05"/>
    <w:rsid w:val="00C75EA0"/>
    <w:rsid w:val="00C86797"/>
    <w:rsid w:val="00C90133"/>
    <w:rsid w:val="00CA3ED3"/>
    <w:rsid w:val="00CE77B4"/>
    <w:rsid w:val="00D06658"/>
    <w:rsid w:val="00D85CBC"/>
    <w:rsid w:val="00DC1E55"/>
    <w:rsid w:val="00DD53B0"/>
    <w:rsid w:val="00DF1654"/>
    <w:rsid w:val="00E7077F"/>
    <w:rsid w:val="00E81FED"/>
    <w:rsid w:val="00EE5984"/>
    <w:rsid w:val="00EE646E"/>
    <w:rsid w:val="00F33791"/>
    <w:rsid w:val="00F51A25"/>
    <w:rsid w:val="00FA1368"/>
    <w:rsid w:val="00FE0630"/>
    <w:rsid w:val="00FF0C30"/>
    <w:rsid w:val="00FF3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E4873F9"/>
  <w15:chartTrackingRefBased/>
  <w15:docId w15:val="{1236F580-EF03-4130-BC2C-A7F5524D9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4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E5B47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36634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A0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A01A2"/>
  </w:style>
  <w:style w:type="paragraph" w:styleId="Pieddepage">
    <w:name w:val="footer"/>
    <w:basedOn w:val="Normal"/>
    <w:link w:val="PieddepageCar"/>
    <w:uiPriority w:val="99"/>
    <w:unhideWhenUsed/>
    <w:rsid w:val="00BA0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A01A2"/>
  </w:style>
  <w:style w:type="table" w:styleId="Grilledutableau">
    <w:name w:val="Table Grid"/>
    <w:basedOn w:val="TableauNormal"/>
    <w:uiPriority w:val="39"/>
    <w:rsid w:val="00DC1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575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Michel RIBIERRE</cp:lastModifiedBy>
  <cp:revision>9</cp:revision>
  <dcterms:created xsi:type="dcterms:W3CDTF">2019-11-09T20:15:00Z</dcterms:created>
  <dcterms:modified xsi:type="dcterms:W3CDTF">2022-04-18T05:23:00Z</dcterms:modified>
</cp:coreProperties>
</file>