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3E888" w14:textId="50E48B16" w:rsidR="006169B2" w:rsidRDefault="004510CA" w:rsidP="008E5B47">
      <w:pPr>
        <w:pStyle w:val="Sansinterligne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TD E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tude de la </w:t>
      </w:r>
      <w:r>
        <w:rPr>
          <w:rFonts w:ascii="Arial" w:hAnsi="Arial" w:cs="Arial"/>
          <w:b/>
          <w:sz w:val="28"/>
          <w:szCs w:val="28"/>
          <w:lang w:val="fr-FR"/>
        </w:rPr>
        <w:t xml:space="preserve">structure </w:t>
      </w:r>
      <w:r w:rsidR="005B1267">
        <w:rPr>
          <w:rFonts w:ascii="Arial" w:hAnsi="Arial" w:cs="Arial"/>
          <w:b/>
          <w:sz w:val="28"/>
          <w:szCs w:val="28"/>
          <w:lang w:val="fr-FR"/>
        </w:rPr>
        <w:t>matérielle associée à la</w:t>
      </w:r>
      <w:r w:rsidR="007168D1">
        <w:rPr>
          <w:rFonts w:ascii="Arial" w:hAnsi="Arial" w:cs="Arial"/>
          <w:b/>
          <w:sz w:val="28"/>
          <w:szCs w:val="28"/>
          <w:lang w:val="fr-FR"/>
        </w:rPr>
        <w:t xml:space="preserve"> fonction</w:t>
      </w:r>
    </w:p>
    <w:p w14:paraId="7FD3E889" w14:textId="77777777" w:rsidR="006219A4" w:rsidRDefault="005B1267" w:rsidP="000A2A5F">
      <w:pPr>
        <w:pStyle w:val="Sansinterligne"/>
        <w:ind w:left="-142" w:right="-92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« </w:t>
      </w:r>
      <w:r w:rsidR="000A2A5F">
        <w:rPr>
          <w:rFonts w:ascii="Arial" w:hAnsi="Arial" w:cs="Arial"/>
          <w:b/>
          <w:sz w:val="28"/>
          <w:szCs w:val="28"/>
          <w:lang w:val="fr-FR"/>
        </w:rPr>
        <w:t>Acquisition et mesure d</w:t>
      </w:r>
      <w:r w:rsidR="000D0051">
        <w:rPr>
          <w:rFonts w:ascii="Arial" w:hAnsi="Arial" w:cs="Arial"/>
          <w:b/>
          <w:sz w:val="28"/>
          <w:szCs w:val="28"/>
          <w:lang w:val="fr-FR"/>
        </w:rPr>
        <w:t>’éclairement lumineux</w:t>
      </w:r>
      <w:r w:rsidR="003D1DFA">
        <w:rPr>
          <w:rFonts w:ascii="Arial" w:hAnsi="Arial" w:cs="Arial"/>
          <w:b/>
          <w:sz w:val="28"/>
          <w:szCs w:val="28"/>
          <w:lang w:val="fr-FR"/>
        </w:rPr>
        <w:t> »</w:t>
      </w:r>
    </w:p>
    <w:p w14:paraId="7FD3E88A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8B" w14:textId="77777777" w:rsidR="008C04B4" w:rsidRDefault="008C04B4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8C" w14:textId="77777777" w:rsidR="008C04B4" w:rsidRPr="008C04B4" w:rsidRDefault="008C04B4" w:rsidP="008C04B4">
      <w:pPr>
        <w:pStyle w:val="Sansinterligne"/>
        <w:jc w:val="center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CORRECTION</w:t>
      </w:r>
    </w:p>
    <w:p w14:paraId="7FD3E88D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8E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8F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90" w14:textId="77777777" w:rsidR="008E5B47" w:rsidRDefault="008E5B47" w:rsidP="008E5B47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Objectif </w:t>
      </w:r>
      <w:r w:rsidR="00512E6A">
        <w:rPr>
          <w:rFonts w:ascii="Arial" w:hAnsi="Arial" w:cs="Arial"/>
          <w:lang w:val="fr-FR"/>
        </w:rPr>
        <w:t xml:space="preserve">: </w:t>
      </w:r>
      <w:r w:rsidR="00512E6A" w:rsidRPr="00C90133">
        <w:rPr>
          <w:rFonts w:ascii="Arial" w:hAnsi="Arial" w:cs="Arial"/>
          <w:lang w:val="fr-FR"/>
        </w:rPr>
        <w:t xml:space="preserve">étudier la </w:t>
      </w:r>
      <w:r w:rsidR="00512E6A">
        <w:rPr>
          <w:rFonts w:ascii="Arial" w:hAnsi="Arial" w:cs="Arial"/>
          <w:lang w:val="fr-FR"/>
        </w:rPr>
        <w:t>structure matérielle associée à la fonction « Acquisition</w:t>
      </w:r>
      <w:r w:rsidR="000D0051">
        <w:rPr>
          <w:rFonts w:ascii="Arial" w:hAnsi="Arial" w:cs="Arial"/>
          <w:lang w:val="fr-FR"/>
        </w:rPr>
        <w:t xml:space="preserve"> et mesure d’éclairement lumineux</w:t>
      </w:r>
      <w:r w:rsidR="00512E6A">
        <w:rPr>
          <w:rFonts w:ascii="Arial" w:hAnsi="Arial" w:cs="Arial"/>
          <w:lang w:val="fr-FR"/>
        </w:rPr>
        <w:t> », afin d’être en mesure, ultérieurement, d’élaborer le programme permettant d’acquérir, de mesurer puis de transmettre à la passerell</w:t>
      </w:r>
      <w:r w:rsidR="000D0051">
        <w:rPr>
          <w:rFonts w:ascii="Arial" w:hAnsi="Arial" w:cs="Arial"/>
          <w:lang w:val="fr-FR"/>
        </w:rPr>
        <w:t>e, l’information de niveau d’éclairement lumineux</w:t>
      </w:r>
      <w:r w:rsidR="00512E6A">
        <w:rPr>
          <w:rFonts w:ascii="Arial" w:hAnsi="Arial" w:cs="Arial"/>
          <w:lang w:val="fr-FR"/>
        </w:rPr>
        <w:t xml:space="preserve"> au voisinage de la carte End </w:t>
      </w:r>
      <w:proofErr w:type="spellStart"/>
      <w:r w:rsidR="00512E6A">
        <w:rPr>
          <w:rFonts w:ascii="Arial" w:hAnsi="Arial" w:cs="Arial"/>
          <w:lang w:val="fr-FR"/>
        </w:rPr>
        <w:t>Device</w:t>
      </w:r>
      <w:proofErr w:type="spellEnd"/>
      <w:r w:rsidR="00512E6A">
        <w:rPr>
          <w:rFonts w:ascii="Arial" w:hAnsi="Arial" w:cs="Arial"/>
          <w:lang w:val="fr-FR"/>
        </w:rPr>
        <w:t>.</w:t>
      </w:r>
    </w:p>
    <w:p w14:paraId="7FD3E891" w14:textId="77777777" w:rsidR="00C90133" w:rsidRDefault="00C90133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92" w14:textId="77777777" w:rsidR="0032722F" w:rsidRDefault="0032722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93" w14:textId="77777777" w:rsidR="0032722F" w:rsidRDefault="0032722F" w:rsidP="0032722F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Consignes</w:t>
      </w:r>
      <w:r>
        <w:rPr>
          <w:rFonts w:ascii="Arial" w:hAnsi="Arial" w:cs="Arial"/>
          <w:lang w:val="fr-FR"/>
        </w:rPr>
        <w:t xml:space="preserve"> : avant de répondre aux questions de ce TD, lire </w:t>
      </w:r>
      <w:r w:rsidRPr="00C90133">
        <w:rPr>
          <w:rFonts w:ascii="Arial" w:hAnsi="Arial" w:cs="Arial"/>
          <w:b/>
          <w:i/>
          <w:lang w:val="fr-FR"/>
        </w:rPr>
        <w:t>attentivement</w:t>
      </w:r>
      <w:r>
        <w:rPr>
          <w:rFonts w:ascii="Arial" w:hAnsi="Arial" w:cs="Arial"/>
          <w:lang w:val="fr-FR"/>
        </w:rPr>
        <w:t xml:space="preserve"> la documentation du composant TSL2571 </w:t>
      </w:r>
      <w:r w:rsidR="0057243E">
        <w:rPr>
          <w:rFonts w:ascii="Arial" w:hAnsi="Arial" w:cs="Arial"/>
          <w:lang w:val="fr-FR"/>
        </w:rPr>
        <w:t>(</w:t>
      </w:r>
      <w:hyperlink r:id="rId7" w:history="1">
        <w:r w:rsidR="0057243E" w:rsidRPr="00AE0333">
          <w:rPr>
            <w:rStyle w:val="Lienhypertexte"/>
            <w:rFonts w:ascii="Arial" w:hAnsi="Arial" w:cs="Arial"/>
            <w:sz w:val="16"/>
            <w:szCs w:val="16"/>
            <w:lang w:val="fr-FR"/>
          </w:rPr>
          <w:t>https://www.mouser.fr/datasheet/2/588/TSL2571_DS000114_3-00-1379958.pdf</w:t>
        </w:r>
      </w:hyperlink>
      <w:r w:rsidR="0057243E" w:rsidRPr="0057243E">
        <w:rPr>
          <w:rFonts w:ascii="Arial" w:hAnsi="Arial" w:cs="Arial"/>
          <w:sz w:val="16"/>
          <w:szCs w:val="16"/>
          <w:lang w:val="fr-FR"/>
        </w:rPr>
        <w:t>)</w:t>
      </w:r>
      <w:r w:rsidR="0057243E">
        <w:rPr>
          <w:rFonts w:ascii="Arial" w:hAnsi="Arial" w:cs="Arial"/>
          <w:lang w:val="fr-FR"/>
        </w:rPr>
        <w:t xml:space="preserve"> </w:t>
      </w:r>
      <w:r w:rsidRPr="00C90133">
        <w:rPr>
          <w:rFonts w:ascii="Arial" w:hAnsi="Arial" w:cs="Arial"/>
          <w:b/>
          <w:i/>
          <w:lang w:val="fr-FR"/>
        </w:rPr>
        <w:t>au moins deux fois</w:t>
      </w:r>
      <w:r>
        <w:rPr>
          <w:rFonts w:ascii="Arial" w:hAnsi="Arial" w:cs="Arial"/>
          <w:lang w:val="fr-FR"/>
        </w:rPr>
        <w:t xml:space="preserve"> dans son intégralité, en s’aidant du logiciel de traduction en ligne </w:t>
      </w:r>
      <w:proofErr w:type="spellStart"/>
      <w:r>
        <w:rPr>
          <w:rFonts w:ascii="Arial" w:hAnsi="Arial" w:cs="Arial"/>
          <w:lang w:val="fr-FR"/>
        </w:rPr>
        <w:t>DeepL</w:t>
      </w:r>
      <w:proofErr w:type="spellEnd"/>
      <w:r>
        <w:rPr>
          <w:rFonts w:ascii="Arial" w:hAnsi="Arial" w:cs="Arial"/>
          <w:lang w:val="fr-FR"/>
        </w:rPr>
        <w:t xml:space="preserve"> si nécessaire.</w:t>
      </w:r>
    </w:p>
    <w:p w14:paraId="7FD3E894" w14:textId="77777777" w:rsidR="0032722F" w:rsidRDefault="0032722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95" w14:textId="77777777" w:rsidR="00534792" w:rsidRDefault="00534792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96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97" w14:textId="77777777" w:rsidR="00226765" w:rsidRDefault="0022676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98" w14:textId="77777777" w:rsidR="007168D1" w:rsidRDefault="006169B2" w:rsidP="006169B2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Localisation de la fonction objet de l’étude</w:t>
      </w:r>
    </w:p>
    <w:p w14:paraId="7FD3E899" w14:textId="77777777" w:rsidR="006169B2" w:rsidRPr="006169B2" w:rsidRDefault="006169B2" w:rsidP="006169B2">
      <w:pPr>
        <w:pStyle w:val="Sansinterligne"/>
        <w:jc w:val="both"/>
        <w:rPr>
          <w:rFonts w:ascii="Arial" w:hAnsi="Arial" w:cs="Arial"/>
          <w:b/>
          <w:lang w:val="fr-FR"/>
        </w:rPr>
      </w:pPr>
    </w:p>
    <w:p w14:paraId="7FD3E89A" w14:textId="77777777" w:rsidR="00723849" w:rsidRDefault="002F56E1" w:rsidP="008C04B4">
      <w:pPr>
        <w:pStyle w:val="Sansinterligne"/>
        <w:jc w:val="center"/>
      </w:pPr>
      <w:r>
        <w:object w:dxaOrig="22521" w:dyaOrig="16372" w14:anchorId="7FD3E9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8pt;height:330pt" o:ole="">
            <v:imagedata r:id="rId8" o:title=""/>
          </v:shape>
          <o:OLEObject Type="Embed" ProgID="CorelDESIGNER.Graphic.16" ShapeID="_x0000_i1025" DrawAspect="Content" ObjectID="_1711771696" r:id="rId9"/>
        </w:object>
      </w:r>
    </w:p>
    <w:p w14:paraId="7FD3E89B" w14:textId="77777777" w:rsidR="002F56E1" w:rsidRDefault="002F56E1" w:rsidP="008C04B4">
      <w:pPr>
        <w:pStyle w:val="Sansinterligne"/>
        <w:jc w:val="center"/>
        <w:rPr>
          <w:rFonts w:ascii="Arial" w:hAnsi="Arial" w:cs="Arial"/>
          <w:lang w:val="fr-FR"/>
        </w:rPr>
      </w:pPr>
    </w:p>
    <w:p w14:paraId="7FD3E89C" w14:textId="77777777" w:rsidR="002F56E1" w:rsidRDefault="002F56E1" w:rsidP="008C04B4">
      <w:pPr>
        <w:pStyle w:val="Sansinterligne"/>
        <w:jc w:val="center"/>
        <w:rPr>
          <w:rFonts w:ascii="Arial" w:hAnsi="Arial" w:cs="Arial"/>
          <w:lang w:val="fr-FR"/>
        </w:rPr>
      </w:pPr>
    </w:p>
    <w:p w14:paraId="7FD3E89D" w14:textId="77777777" w:rsidR="002F56E1" w:rsidRDefault="002F56E1" w:rsidP="008C04B4">
      <w:pPr>
        <w:pStyle w:val="Sansinterligne"/>
        <w:jc w:val="center"/>
        <w:rPr>
          <w:rFonts w:ascii="Arial" w:hAnsi="Arial" w:cs="Arial"/>
          <w:lang w:val="fr-FR"/>
        </w:rPr>
      </w:pPr>
    </w:p>
    <w:p w14:paraId="7FD3E89E" w14:textId="77777777" w:rsidR="002F56E1" w:rsidRDefault="002F56E1" w:rsidP="008C04B4">
      <w:pPr>
        <w:pStyle w:val="Sansinterligne"/>
        <w:jc w:val="center"/>
        <w:rPr>
          <w:rFonts w:ascii="Arial" w:hAnsi="Arial" w:cs="Arial"/>
          <w:lang w:val="fr-FR"/>
        </w:rPr>
      </w:pPr>
    </w:p>
    <w:p w14:paraId="7FD3E89F" w14:textId="77777777" w:rsidR="002F56E1" w:rsidRDefault="002F56E1" w:rsidP="008C04B4">
      <w:pPr>
        <w:pStyle w:val="Sansinterligne"/>
        <w:jc w:val="center"/>
        <w:rPr>
          <w:rFonts w:ascii="Arial" w:hAnsi="Arial" w:cs="Arial"/>
          <w:lang w:val="fr-FR"/>
        </w:rPr>
      </w:pPr>
    </w:p>
    <w:p w14:paraId="7FD3E8A0" w14:textId="77777777" w:rsidR="00DC1E55" w:rsidRDefault="00DC1E55" w:rsidP="00DC1E55">
      <w:pPr>
        <w:pStyle w:val="Sansinterligne"/>
        <w:numPr>
          <w:ilvl w:val="0"/>
          <w:numId w:val="12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Schéma structurel associé</w:t>
      </w:r>
    </w:p>
    <w:p w14:paraId="7FD3E8A1" w14:textId="77777777" w:rsidR="00DC1E55" w:rsidRDefault="00DC1E55" w:rsidP="00DC1E55">
      <w:pPr>
        <w:pStyle w:val="Sansinterligne"/>
        <w:jc w:val="both"/>
        <w:rPr>
          <w:rFonts w:ascii="Arial" w:hAnsi="Arial" w:cs="Arial"/>
          <w:b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626"/>
      </w:tblGrid>
      <w:tr w:rsidR="00DC1E55" w:rsidRPr="00DC1E55" w14:paraId="7FD3E8A3" w14:textId="77777777" w:rsidTr="0032722F">
        <w:trPr>
          <w:trHeight w:val="3032"/>
          <w:jc w:val="center"/>
        </w:trPr>
        <w:tc>
          <w:tcPr>
            <w:tcW w:w="7519" w:type="dxa"/>
          </w:tcPr>
          <w:p w14:paraId="7FD3E8A2" w14:textId="77777777" w:rsidR="00DC1E55" w:rsidRPr="00DC1E55" w:rsidRDefault="000731E8" w:rsidP="005E75F5">
            <w:pPr>
              <w:pStyle w:val="Sansinterligne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w:drawing>
                <wp:inline distT="0" distB="0" distL="0" distR="0" wp14:anchorId="7FD3E936" wp14:editId="7FD3E937">
                  <wp:extent cx="4699118" cy="2630525"/>
                  <wp:effectExtent l="0" t="0" r="635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472" cy="2630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D3E8A4" w14:textId="77777777" w:rsidR="00DC1E55" w:rsidRPr="00DC1E55" w:rsidRDefault="00DC1E55" w:rsidP="00DC1E55">
      <w:pPr>
        <w:pStyle w:val="Sansinterligne"/>
        <w:jc w:val="center"/>
        <w:rPr>
          <w:rFonts w:ascii="Arial" w:hAnsi="Arial" w:cs="Arial"/>
          <w:b/>
          <w:lang w:val="fr-FR"/>
        </w:rPr>
      </w:pPr>
    </w:p>
    <w:p w14:paraId="7FD3E8A5" w14:textId="77777777" w:rsidR="00DC1E55" w:rsidRDefault="00DC1E55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A6" w14:textId="77777777" w:rsidR="0032722F" w:rsidRDefault="0032722F" w:rsidP="008E5B47">
      <w:pPr>
        <w:pStyle w:val="Sansinterligne"/>
        <w:jc w:val="both"/>
        <w:rPr>
          <w:rFonts w:ascii="Arial" w:hAnsi="Arial" w:cs="Arial"/>
          <w:lang w:val="fr-FR"/>
        </w:rPr>
      </w:pPr>
    </w:p>
    <w:p w14:paraId="7FD3E8A7" w14:textId="77777777" w:rsidR="00C90133" w:rsidRDefault="0032722F" w:rsidP="00983F18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Présentation fon</w:t>
      </w:r>
      <w:r w:rsidR="006E4C63">
        <w:rPr>
          <w:rFonts w:ascii="Arial" w:hAnsi="Arial" w:cs="Arial"/>
          <w:b/>
          <w:lang w:val="fr-FR"/>
        </w:rPr>
        <w:t>ctionnelle du composant TSL2571</w:t>
      </w:r>
    </w:p>
    <w:p w14:paraId="7FD3E8A8" w14:textId="77777777" w:rsidR="00C90133" w:rsidRDefault="00C90133" w:rsidP="00C90133">
      <w:pPr>
        <w:pStyle w:val="Sansinterligne"/>
        <w:jc w:val="both"/>
        <w:rPr>
          <w:rFonts w:ascii="Arial" w:hAnsi="Arial" w:cs="Arial"/>
          <w:lang w:val="fr-FR"/>
        </w:rPr>
      </w:pPr>
    </w:p>
    <w:p w14:paraId="7FD3E8A9" w14:textId="77777777" w:rsidR="007646DB" w:rsidRDefault="007646DB" w:rsidP="002F3668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se propose de répondre aux questions d</w:t>
      </w:r>
      <w:r w:rsidR="002F3668">
        <w:rPr>
          <w:rFonts w:ascii="Arial" w:hAnsi="Arial" w:cs="Arial"/>
          <w:lang w:val="fr-FR"/>
        </w:rPr>
        <w:t xml:space="preserve">e ce paragraphe 3, à partir des </w:t>
      </w:r>
      <w:r>
        <w:rPr>
          <w:rFonts w:ascii="Arial" w:hAnsi="Arial" w:cs="Arial"/>
          <w:lang w:val="fr-FR"/>
        </w:rPr>
        <w:t>informations mentionnées aux pages 1 à 4</w:t>
      </w:r>
      <w:r w:rsidR="002F3668">
        <w:rPr>
          <w:rFonts w:ascii="Arial" w:hAnsi="Arial" w:cs="Arial"/>
          <w:lang w:val="fr-FR"/>
        </w:rPr>
        <w:t xml:space="preserve"> de la documentation ainsi que d’informations relatives à la photométrie non mentionnées dans la documentation et que l’on pourra récupérer auprès du professeur de physique ou depuis des sites internet -fiables et sérieux- traitant de la photométrie.</w:t>
      </w:r>
    </w:p>
    <w:p w14:paraId="7FD3E8AA" w14:textId="77777777" w:rsidR="002F3668" w:rsidRDefault="002F3668" w:rsidP="00C90133">
      <w:pPr>
        <w:pStyle w:val="Sansinterligne"/>
        <w:jc w:val="both"/>
        <w:rPr>
          <w:rFonts w:ascii="Arial" w:hAnsi="Arial" w:cs="Arial"/>
          <w:lang w:val="fr-FR"/>
        </w:rPr>
      </w:pPr>
    </w:p>
    <w:p w14:paraId="7FD3E8AB" w14:textId="77777777" w:rsidR="007646DB" w:rsidRDefault="007646DB" w:rsidP="00C90133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rappelle ci-dessous le synoptique de la structure interne du composant TSL2571 :</w:t>
      </w:r>
    </w:p>
    <w:p w14:paraId="7FD3E8AC" w14:textId="77777777" w:rsidR="007646DB" w:rsidRDefault="007646DB" w:rsidP="00C90133">
      <w:pPr>
        <w:pStyle w:val="Sansinterligne"/>
        <w:jc w:val="both"/>
        <w:rPr>
          <w:rFonts w:ascii="Arial" w:hAnsi="Arial" w:cs="Arial"/>
          <w:lang w:val="fr-FR"/>
        </w:rPr>
      </w:pPr>
    </w:p>
    <w:p w14:paraId="7FD3E8AD" w14:textId="77777777" w:rsidR="007646DB" w:rsidRDefault="007646DB" w:rsidP="007646DB">
      <w:pPr>
        <w:pStyle w:val="Sansinterligne"/>
        <w:jc w:val="center"/>
        <w:rPr>
          <w:rFonts w:ascii="Arial" w:hAnsi="Arial" w:cs="Arial"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7FD3E938" wp14:editId="7FD3E939">
            <wp:extent cx="4652314" cy="206104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52881" cy="2061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3E8AE" w14:textId="77777777" w:rsidR="007646DB" w:rsidRDefault="007646DB" w:rsidP="007646DB">
      <w:pPr>
        <w:pStyle w:val="Sansinterligne"/>
        <w:jc w:val="center"/>
        <w:rPr>
          <w:rFonts w:ascii="Arial" w:hAnsi="Arial" w:cs="Arial"/>
          <w:lang w:val="fr-FR"/>
        </w:rPr>
      </w:pPr>
    </w:p>
    <w:p w14:paraId="7FD3E8AF" w14:textId="77777777" w:rsidR="002F3668" w:rsidRDefault="007646DB" w:rsidP="007646DB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 ce que signifie l’abréviation ALS et proposer une traduction en français. Préciser alors la nature du paramètre physique auquel le composant </w:t>
      </w:r>
      <w:r w:rsidR="000D0051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>S</w:t>
      </w:r>
      <w:r w:rsidR="000D005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2571 est sensible.</w:t>
      </w:r>
    </w:p>
    <w:p w14:paraId="7FD3E8B0" w14:textId="77777777" w:rsidR="009D2343" w:rsidRDefault="002F3668" w:rsidP="002F3668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ALS signifie Ambient Light </w:t>
      </w:r>
      <w:proofErr w:type="spellStart"/>
      <w:r>
        <w:rPr>
          <w:rFonts w:ascii="Arial" w:hAnsi="Arial" w:cs="Arial"/>
          <w:b/>
          <w:color w:val="0000CC"/>
          <w:lang w:val="fr-FR"/>
        </w:rPr>
        <w:t>Sensing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que l’on pourrait traduire par « Dispositif sensible à la lumière ambiante ». Le paramètre physique auquel le composant est sensible est donc la lumière</w:t>
      </w:r>
      <w:r w:rsidR="009D2343">
        <w:rPr>
          <w:rFonts w:ascii="Arial" w:hAnsi="Arial" w:cs="Arial"/>
          <w:b/>
          <w:color w:val="0000CC"/>
          <w:lang w:val="fr-FR"/>
        </w:rPr>
        <w:t> ambiante.</w:t>
      </w:r>
    </w:p>
    <w:p w14:paraId="7FD3E8B1" w14:textId="77777777" w:rsidR="009D2343" w:rsidRDefault="009D2343" w:rsidP="002F3668">
      <w:pPr>
        <w:pStyle w:val="Sansinterligne"/>
        <w:jc w:val="both"/>
        <w:rPr>
          <w:rFonts w:ascii="Arial" w:hAnsi="Arial" w:cs="Arial"/>
          <w:color w:val="0000CC"/>
          <w:lang w:val="fr-FR"/>
        </w:rPr>
      </w:pPr>
    </w:p>
    <w:p w14:paraId="7FD3E8B2" w14:textId="77777777" w:rsidR="007646DB" w:rsidRDefault="009D2343" w:rsidP="009D2343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nature et l’unité de la grandeur de sortie du composant</w:t>
      </w:r>
      <w:r w:rsidR="000D0051">
        <w:rPr>
          <w:rFonts w:ascii="Arial" w:hAnsi="Arial" w:cs="Arial"/>
          <w:lang w:val="fr-FR"/>
        </w:rPr>
        <w:t xml:space="preserve"> TSL2571</w:t>
      </w:r>
      <w:r>
        <w:rPr>
          <w:rFonts w:ascii="Arial" w:hAnsi="Arial" w:cs="Arial"/>
          <w:lang w:val="fr-FR"/>
        </w:rPr>
        <w:t>.</w:t>
      </w:r>
    </w:p>
    <w:p w14:paraId="7FD3E8B3" w14:textId="77777777" w:rsidR="009D2343" w:rsidRPr="009D2343" w:rsidRDefault="009D2343" w:rsidP="009D2343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9D2343">
        <w:rPr>
          <w:rFonts w:ascii="Arial" w:hAnsi="Arial" w:cs="Arial"/>
          <w:b/>
          <w:color w:val="0000CC"/>
          <w:lang w:val="fr-FR"/>
        </w:rPr>
        <w:lastRenderedPageBreak/>
        <w:t>La sortie est constituée des deux broches SCL et SDA typiques d’une interface I2C, qui délivre donc un nombre (sans unité).</w:t>
      </w:r>
    </w:p>
    <w:p w14:paraId="7FD3E8B4" w14:textId="77777777" w:rsidR="009D2343" w:rsidRDefault="009D2343" w:rsidP="009D2343">
      <w:pPr>
        <w:pStyle w:val="Sansinterligne"/>
        <w:jc w:val="both"/>
        <w:rPr>
          <w:rFonts w:ascii="Arial" w:hAnsi="Arial" w:cs="Arial"/>
          <w:lang w:val="fr-FR"/>
        </w:rPr>
      </w:pPr>
    </w:p>
    <w:p w14:paraId="7FD3E8B5" w14:textId="77777777" w:rsidR="009D2343" w:rsidRDefault="009D2343" w:rsidP="009D2343">
      <w:pPr>
        <w:pStyle w:val="Sansinterligne"/>
        <w:jc w:val="both"/>
        <w:rPr>
          <w:rFonts w:ascii="Arial" w:hAnsi="Arial" w:cs="Arial"/>
        </w:rPr>
      </w:pPr>
      <w:r w:rsidRPr="009D2343">
        <w:rPr>
          <w:rFonts w:ascii="Arial" w:hAnsi="Arial" w:cs="Arial"/>
        </w:rPr>
        <w:t xml:space="preserve">La documentation </w:t>
      </w:r>
      <w:proofErr w:type="spellStart"/>
      <w:r w:rsidRPr="009D2343">
        <w:rPr>
          <w:rFonts w:ascii="Arial" w:hAnsi="Arial" w:cs="Arial"/>
        </w:rPr>
        <w:t>indique</w:t>
      </w:r>
      <w:proofErr w:type="spellEnd"/>
      <w:r w:rsidRPr="009D2343">
        <w:rPr>
          <w:rFonts w:ascii="Arial" w:hAnsi="Arial" w:cs="Arial"/>
        </w:rPr>
        <w:t xml:space="preserve">, page </w:t>
      </w:r>
      <w:proofErr w:type="gramStart"/>
      <w:r>
        <w:rPr>
          <w:rFonts w:ascii="Arial" w:hAnsi="Arial" w:cs="Arial"/>
        </w:rPr>
        <w:t>4</w:t>
      </w:r>
      <w:r w:rsidR="00E25A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 w:rsidRPr="009D2343">
        <w:rPr>
          <w:rFonts w:ascii="Arial" w:hAnsi="Arial" w:cs="Arial"/>
        </w:rPr>
        <w:t> « </w:t>
      </w:r>
      <w:r w:rsidRPr="009D2343">
        <w:rPr>
          <w:rFonts w:ascii="Arial" w:hAnsi="Arial" w:cs="Arial"/>
          <w:i/>
        </w:rPr>
        <w:t>This digital output can be read by a microprocessor through which the illuminance (ambient light level) in lux is derived using an empirical formula to approximate the human eye response.</w:t>
      </w:r>
      <w:r w:rsidRPr="009D2343">
        <w:rPr>
          <w:rFonts w:ascii="Arial" w:hAnsi="Arial" w:cs="Arial"/>
          <w:b/>
          <w:color w:val="0000CC"/>
        </w:rPr>
        <w:t xml:space="preserve"> </w:t>
      </w:r>
      <w:r w:rsidRPr="009D2343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14:paraId="7FD3E8B6" w14:textId="77777777" w:rsidR="00E25A30" w:rsidRDefault="00E25A30" w:rsidP="009D2343">
      <w:pPr>
        <w:pStyle w:val="Sansinterligne"/>
        <w:jc w:val="both"/>
        <w:rPr>
          <w:rFonts w:ascii="Arial" w:hAnsi="Arial" w:cs="Arial"/>
        </w:rPr>
      </w:pPr>
    </w:p>
    <w:p w14:paraId="7FD3E8B7" w14:textId="77777777" w:rsidR="00373306" w:rsidRDefault="00E25A30" w:rsidP="0037330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 w:rsidRPr="00373306">
        <w:rPr>
          <w:rFonts w:ascii="Arial" w:hAnsi="Arial" w:cs="Arial"/>
          <w:lang w:val="fr-FR"/>
        </w:rPr>
        <w:t>I</w:t>
      </w:r>
      <w:r w:rsidR="00373306">
        <w:rPr>
          <w:rFonts w:ascii="Arial" w:hAnsi="Arial" w:cs="Arial"/>
          <w:lang w:val="fr-FR"/>
        </w:rPr>
        <w:t xml:space="preserve">ndiquer alors la grandeur </w:t>
      </w:r>
      <w:r w:rsidR="00373306" w:rsidRPr="00373306">
        <w:rPr>
          <w:rFonts w:ascii="Arial" w:hAnsi="Arial" w:cs="Arial"/>
          <w:lang w:val="fr-FR"/>
        </w:rPr>
        <w:t xml:space="preserve">qu’un microprocesseur </w:t>
      </w:r>
      <w:r w:rsidR="00373306">
        <w:rPr>
          <w:rFonts w:ascii="Arial" w:hAnsi="Arial" w:cs="Arial"/>
          <w:lang w:val="fr-FR"/>
        </w:rPr>
        <w:t xml:space="preserve">(ou un µC) peut calculer à partir de la prise en compte de l’information de sortie du </w:t>
      </w:r>
      <w:r w:rsidR="000D0051">
        <w:rPr>
          <w:rFonts w:ascii="Arial" w:hAnsi="Arial" w:cs="Arial"/>
          <w:lang w:val="fr-FR"/>
        </w:rPr>
        <w:t>T</w:t>
      </w:r>
      <w:r w:rsidR="00373306">
        <w:rPr>
          <w:rFonts w:ascii="Arial" w:hAnsi="Arial" w:cs="Arial"/>
          <w:lang w:val="fr-FR"/>
        </w:rPr>
        <w:t>S</w:t>
      </w:r>
      <w:r w:rsidR="000D0051">
        <w:rPr>
          <w:rFonts w:ascii="Arial" w:hAnsi="Arial" w:cs="Arial"/>
          <w:lang w:val="fr-FR"/>
        </w:rPr>
        <w:t>L</w:t>
      </w:r>
      <w:r w:rsidR="00373306">
        <w:rPr>
          <w:rFonts w:ascii="Arial" w:hAnsi="Arial" w:cs="Arial"/>
          <w:lang w:val="fr-FR"/>
        </w:rPr>
        <w:t>2571. Préciser l’unité de cette grandeur.</w:t>
      </w:r>
      <w:r w:rsidR="009F2AA9">
        <w:rPr>
          <w:rFonts w:ascii="Arial" w:hAnsi="Arial" w:cs="Arial"/>
          <w:lang w:val="fr-FR"/>
        </w:rPr>
        <w:t xml:space="preserve"> En déduire l’appellation de la fonction réalisée par l’ensemble (capteur TSL2571 plus µC).</w:t>
      </w:r>
    </w:p>
    <w:p w14:paraId="7FD3E8B8" w14:textId="77777777" w:rsidR="00373306" w:rsidRDefault="00373306" w:rsidP="00373306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0D0051">
        <w:rPr>
          <w:rFonts w:ascii="Arial" w:hAnsi="Arial" w:cs="Arial"/>
          <w:b/>
          <w:color w:val="0000CC"/>
          <w:lang w:val="fr-FR"/>
        </w:rPr>
        <w:t xml:space="preserve">Il est possible, à partir de la valeur du nombre de sortie Ns délivré par </w:t>
      </w:r>
      <w:r w:rsidR="000D0051" w:rsidRPr="000D0051">
        <w:rPr>
          <w:rFonts w:ascii="Arial" w:hAnsi="Arial" w:cs="Arial"/>
          <w:b/>
          <w:color w:val="0000CC"/>
          <w:lang w:val="fr-FR"/>
        </w:rPr>
        <w:t>le TSL2571, de déterminer l’éclairement lumineux (grandeur de la photométrie correspondant à la sensation humaine sur la manière dont une surface est éclairée), grandeur notée le plus souvent E (et que l’on notera donc E)</w:t>
      </w:r>
      <w:r w:rsidR="009F2AA9">
        <w:rPr>
          <w:rFonts w:ascii="Arial" w:hAnsi="Arial" w:cs="Arial"/>
          <w:b/>
          <w:color w:val="0000CC"/>
          <w:lang w:val="fr-FR"/>
        </w:rPr>
        <w:t xml:space="preserve">, </w:t>
      </w:r>
      <w:proofErr w:type="gramStart"/>
      <w:r w:rsidR="009F2AA9">
        <w:rPr>
          <w:rFonts w:ascii="Arial" w:hAnsi="Arial" w:cs="Arial"/>
          <w:b/>
          <w:color w:val="0000CC"/>
          <w:lang w:val="fr-FR"/>
        </w:rPr>
        <w:t xml:space="preserve">et </w:t>
      </w:r>
      <w:r w:rsidR="000D0051" w:rsidRPr="000D0051">
        <w:rPr>
          <w:rFonts w:ascii="Arial" w:hAnsi="Arial" w:cs="Arial"/>
          <w:b/>
          <w:color w:val="0000CC"/>
          <w:lang w:val="fr-FR"/>
        </w:rPr>
        <w:t xml:space="preserve"> qui</w:t>
      </w:r>
      <w:proofErr w:type="gramEnd"/>
      <w:r w:rsidR="000D0051" w:rsidRPr="000D0051">
        <w:rPr>
          <w:rFonts w:ascii="Arial" w:hAnsi="Arial" w:cs="Arial"/>
          <w:b/>
          <w:color w:val="0000CC"/>
          <w:lang w:val="fr-FR"/>
        </w:rPr>
        <w:t xml:space="preserve"> s’exprime en lux (lx).</w:t>
      </w:r>
    </w:p>
    <w:p w14:paraId="7FD3E8B9" w14:textId="77777777" w:rsidR="002F56E1" w:rsidRDefault="009F2AA9" w:rsidP="00373306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L’ensemble (capteur TSL2571 plus le µC intégrant le programme de calcul de l’éclairement lumineux) réalise donc un luxmètre.</w:t>
      </w:r>
    </w:p>
    <w:p w14:paraId="7FD3E8BA" w14:textId="77777777" w:rsidR="002F56E1" w:rsidRDefault="002F56E1" w:rsidP="00373306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7FD3E8BB" w14:textId="77777777" w:rsidR="00C72779" w:rsidRPr="00C72779" w:rsidRDefault="002F56E1" w:rsidP="00C72779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  <w:sectPr w:rsidR="00C72779" w:rsidRPr="00C72779" w:rsidSect="007D7ADF">
          <w:footerReference w:type="default" r:id="rId12"/>
          <w:pgSz w:w="11906" w:h="16838" w:code="9"/>
          <w:pgMar w:top="1418" w:right="1418" w:bottom="1418" w:left="1418" w:header="709" w:footer="709" w:gutter="0"/>
          <w:cols w:space="567"/>
          <w:docGrid w:linePitch="360"/>
        </w:sectPr>
      </w:pPr>
      <w:r>
        <w:rPr>
          <w:rFonts w:ascii="Arial" w:hAnsi="Arial" w:cs="Arial"/>
          <w:lang w:val="fr-FR"/>
        </w:rPr>
        <w:t>Préciser à quoi fait référence la n</w:t>
      </w:r>
      <w:r w:rsidR="00C72779">
        <w:rPr>
          <w:rFonts w:ascii="Arial" w:hAnsi="Arial" w:cs="Arial"/>
          <w:lang w:val="fr-FR"/>
        </w:rPr>
        <w:t>otion de « </w:t>
      </w:r>
      <w:proofErr w:type="spellStart"/>
      <w:r w:rsidR="00C72779">
        <w:rPr>
          <w:rFonts w:ascii="Arial" w:hAnsi="Arial" w:cs="Arial"/>
          <w:lang w:val="fr-FR"/>
        </w:rPr>
        <w:t>human</w:t>
      </w:r>
      <w:proofErr w:type="spellEnd"/>
      <w:r w:rsidR="00C72779">
        <w:rPr>
          <w:rFonts w:ascii="Arial" w:hAnsi="Arial" w:cs="Arial"/>
          <w:lang w:val="fr-FR"/>
        </w:rPr>
        <w:t xml:space="preserve"> </w:t>
      </w:r>
      <w:proofErr w:type="spellStart"/>
      <w:r w:rsidR="00C72779">
        <w:rPr>
          <w:rFonts w:ascii="Arial" w:hAnsi="Arial" w:cs="Arial"/>
          <w:lang w:val="fr-FR"/>
        </w:rPr>
        <w:t>eye</w:t>
      </w:r>
      <w:proofErr w:type="spellEnd"/>
      <w:r w:rsidR="00C72779">
        <w:rPr>
          <w:rFonts w:ascii="Arial" w:hAnsi="Arial" w:cs="Arial"/>
          <w:lang w:val="fr-FR"/>
        </w:rPr>
        <w:t xml:space="preserve"> </w:t>
      </w:r>
      <w:proofErr w:type="spellStart"/>
      <w:r w:rsidR="00C72779">
        <w:rPr>
          <w:rFonts w:ascii="Arial" w:hAnsi="Arial" w:cs="Arial"/>
          <w:lang w:val="fr-FR"/>
        </w:rPr>
        <w:t>response</w:t>
      </w:r>
      <w:proofErr w:type="spellEnd"/>
      <w:r w:rsidR="00C72779">
        <w:rPr>
          <w:rFonts w:ascii="Arial" w:hAnsi="Arial" w:cs="Arial"/>
          <w:lang w:val="fr-FR"/>
        </w:rPr>
        <w:t> ».</w:t>
      </w:r>
    </w:p>
    <w:p w14:paraId="7FD3E8BC" w14:textId="77777777" w:rsidR="00C72779" w:rsidRDefault="00C72779" w:rsidP="00C727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L’œil humain ne présente pas la même sensibilité aux différentes longueurs d’onde du domaine visible.</w:t>
      </w:r>
    </w:p>
    <w:p w14:paraId="7FD3E8BD" w14:textId="77777777" w:rsidR="00C72779" w:rsidRDefault="00C72779" w:rsidP="00C727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A puissances d’émission identiques, il aura la sensation de voir une source lumineuse de couleur verte de façon bien plus brillante qu’une source lumineuse de couleur rouge ou bleue.</w:t>
      </w:r>
    </w:p>
    <w:p w14:paraId="7FD3E8BE" w14:textId="77777777" w:rsidR="00C72779" w:rsidRDefault="00C72779" w:rsidP="00C727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7FD3E8BF" w14:textId="77777777" w:rsidR="00C72779" w:rsidRDefault="00C72779" w:rsidP="00C727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L’éclairement lumineux, en lux, tient compte de la sensibilité spectrale de l’œil.</w:t>
      </w:r>
    </w:p>
    <w:p w14:paraId="7FD3E8C0" w14:textId="77777777" w:rsidR="00C72779" w:rsidRDefault="00C72779" w:rsidP="00C72779">
      <w:pPr>
        <w:pStyle w:val="Sansinterligne"/>
        <w:rPr>
          <w:rFonts w:ascii="Arial" w:hAnsi="Arial" w:cs="Arial"/>
          <w:b/>
          <w:color w:val="0000CC"/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7FD3E93A" wp14:editId="7FD3E93B">
            <wp:extent cx="1945611" cy="1714270"/>
            <wp:effectExtent l="0" t="0" r="0" b="635"/>
            <wp:docPr id="3" name="image" descr="https://degrek.com/wp-content/uploads/2017/05/sensibilite-oe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s://degrek.com/wp-content/uploads/2017/05/sensibilite-oeil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77" cy="1715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3E8C1" w14:textId="77777777" w:rsidR="00C72779" w:rsidRDefault="00C72779" w:rsidP="002F56E1">
      <w:pPr>
        <w:pStyle w:val="Sansinterligne"/>
        <w:jc w:val="center"/>
        <w:rPr>
          <w:rFonts w:ascii="Arial" w:hAnsi="Arial" w:cs="Arial"/>
          <w:b/>
          <w:color w:val="0000CC"/>
          <w:lang w:val="fr-FR"/>
        </w:rPr>
        <w:sectPr w:rsidR="00C72779" w:rsidSect="007D7ADF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</w:p>
    <w:p w14:paraId="7FD3E8C2" w14:textId="77777777" w:rsidR="009D2343" w:rsidRDefault="009D2343" w:rsidP="009D2343">
      <w:pPr>
        <w:pStyle w:val="Sansinterligne"/>
        <w:jc w:val="both"/>
        <w:rPr>
          <w:rFonts w:ascii="Arial" w:hAnsi="Arial" w:cs="Arial"/>
          <w:lang w:val="fr-FR"/>
        </w:rPr>
      </w:pPr>
    </w:p>
    <w:p w14:paraId="7FD3E8C3" w14:textId="77777777" w:rsidR="00B93CDF" w:rsidRDefault="00661738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>En déduire la raison pour laquelle le constructeur précise, page 1, les 3 phrases suivantes : « </w:t>
      </w:r>
      <w:proofErr w:type="spellStart"/>
      <w:r w:rsidRPr="00661738">
        <w:rPr>
          <w:rFonts w:ascii="Arial" w:hAnsi="Arial" w:cs="Arial"/>
          <w:i/>
          <w:lang w:val="fr-FR"/>
        </w:rPr>
        <w:t>While</w:t>
      </w:r>
      <w:proofErr w:type="spellEnd"/>
      <w:r w:rsidRPr="00661738">
        <w:rPr>
          <w:rFonts w:ascii="Arial" w:hAnsi="Arial" w:cs="Arial"/>
          <w:i/>
          <w:lang w:val="fr-FR"/>
        </w:rPr>
        <w:t xml:space="preserve"> </w:t>
      </w:r>
      <w:proofErr w:type="spellStart"/>
      <w:r w:rsidRPr="00661738">
        <w:rPr>
          <w:rFonts w:ascii="Arial" w:hAnsi="Arial" w:cs="Arial"/>
          <w:i/>
          <w:lang w:val="fr-FR"/>
        </w:rPr>
        <w:t>useful</w:t>
      </w:r>
      <w:proofErr w:type="spellEnd"/>
      <w:r w:rsidRPr="00661738">
        <w:rPr>
          <w:rFonts w:ascii="Arial" w:hAnsi="Arial" w:cs="Arial"/>
          <w:i/>
          <w:lang w:val="fr-FR"/>
        </w:rPr>
        <w:t xml:space="preserve"> for </w:t>
      </w:r>
      <w:proofErr w:type="spellStart"/>
      <w:r w:rsidRPr="00661738">
        <w:rPr>
          <w:rFonts w:ascii="Arial" w:hAnsi="Arial" w:cs="Arial"/>
          <w:i/>
          <w:lang w:val="fr-FR"/>
        </w:rPr>
        <w:t>general</w:t>
      </w:r>
      <w:proofErr w:type="spellEnd"/>
      <w:r w:rsidRPr="00661738">
        <w:rPr>
          <w:rFonts w:ascii="Arial" w:hAnsi="Arial" w:cs="Arial"/>
          <w:i/>
          <w:lang w:val="fr-FR"/>
        </w:rPr>
        <w:t xml:space="preserve"> </w:t>
      </w:r>
      <w:proofErr w:type="spellStart"/>
      <w:r w:rsidRPr="00661738">
        <w:rPr>
          <w:rFonts w:ascii="Arial" w:hAnsi="Arial" w:cs="Arial"/>
          <w:i/>
          <w:lang w:val="fr-FR"/>
        </w:rPr>
        <w:t>purpose</w:t>
      </w:r>
      <w:proofErr w:type="spellEnd"/>
      <w:r w:rsidRPr="00661738">
        <w:rPr>
          <w:rFonts w:ascii="Arial" w:hAnsi="Arial" w:cs="Arial"/>
          <w:i/>
          <w:lang w:val="fr-FR"/>
        </w:rPr>
        <w:t xml:space="preserve"> … </w:t>
      </w:r>
      <w:proofErr w:type="spellStart"/>
      <w:r w:rsidRPr="00661738">
        <w:rPr>
          <w:rFonts w:ascii="Arial" w:hAnsi="Arial" w:cs="Arial"/>
          <w:i/>
          <w:lang w:val="fr-FR"/>
        </w:rPr>
        <w:t>lighting</w:t>
      </w:r>
      <w:proofErr w:type="spellEnd"/>
      <w:r w:rsidRPr="00661738">
        <w:rPr>
          <w:rFonts w:ascii="Arial" w:hAnsi="Arial" w:cs="Arial"/>
          <w:i/>
          <w:lang w:val="fr-FR"/>
        </w:rPr>
        <w:t xml:space="preserve"> conditions. </w:t>
      </w:r>
      <w:r w:rsidRPr="00661738">
        <w:rPr>
          <w:rFonts w:ascii="Arial" w:hAnsi="Arial" w:cs="Arial"/>
          <w:i/>
        </w:rPr>
        <w:t>Display panel and … platform power. The ALS features … and cell phones.</w:t>
      </w:r>
      <w:r w:rsidRPr="00661738">
        <w:rPr>
          <w:rFonts w:ascii="Arial" w:hAnsi="Arial" w:cs="Arial"/>
        </w:rPr>
        <w:t> »</w:t>
      </w:r>
      <w:r>
        <w:rPr>
          <w:rFonts w:ascii="Arial" w:hAnsi="Arial" w:cs="Arial"/>
        </w:rPr>
        <w:t>.</w:t>
      </w:r>
    </w:p>
    <w:p w14:paraId="7FD3E8C4" w14:textId="77777777" w:rsidR="00661738" w:rsidRPr="0016248D" w:rsidRDefault="009F2AA9" w:rsidP="00661738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16248D">
        <w:rPr>
          <w:rFonts w:ascii="Arial" w:hAnsi="Arial" w:cs="Arial"/>
          <w:b/>
          <w:color w:val="0000CC"/>
          <w:lang w:val="fr-FR"/>
        </w:rPr>
        <w:t xml:space="preserve">On pourra intégrer ce capteur TSL2571 sur le bord d’un écran d’ordinateur, de télévision ou de smartphone afin d’adapter l’intensité </w:t>
      </w:r>
      <w:r w:rsidR="00137FBF" w:rsidRPr="0016248D">
        <w:rPr>
          <w:rFonts w:ascii="Arial" w:hAnsi="Arial" w:cs="Arial"/>
          <w:b/>
          <w:color w:val="0000CC"/>
          <w:lang w:val="fr-FR"/>
        </w:rPr>
        <w:t xml:space="preserve">lumineuse </w:t>
      </w:r>
      <w:r w:rsidR="00B56D73">
        <w:rPr>
          <w:rFonts w:ascii="Arial" w:hAnsi="Arial" w:cs="Arial"/>
          <w:b/>
          <w:color w:val="0000CC"/>
          <w:lang w:val="fr-FR"/>
        </w:rPr>
        <w:t>émise par l’écran à</w:t>
      </w:r>
      <w:r w:rsidR="00137FBF" w:rsidRPr="0016248D">
        <w:rPr>
          <w:rFonts w:ascii="Arial" w:hAnsi="Arial" w:cs="Arial"/>
          <w:b/>
          <w:color w:val="0000CC"/>
          <w:lang w:val="fr-FR"/>
        </w:rPr>
        <w:t xml:space="preserve"> la lumière ambiante, l’objectif étant de </w:t>
      </w:r>
      <w:r w:rsidR="0016248D" w:rsidRPr="0016248D">
        <w:rPr>
          <w:rFonts w:ascii="Arial" w:hAnsi="Arial" w:cs="Arial"/>
          <w:b/>
          <w:color w:val="0000CC"/>
          <w:lang w:val="fr-FR"/>
        </w:rPr>
        <w:t>réduire la consommation de l’écran qui peut représenter jusqu’à 40% de l’énergie consommée pour ce genre d’appareil, nous dit-on.</w:t>
      </w:r>
    </w:p>
    <w:p w14:paraId="7FD3E8C5" w14:textId="77777777" w:rsidR="0016248D" w:rsidRDefault="0016248D" w:rsidP="00661738">
      <w:pPr>
        <w:pStyle w:val="Sansinterligne"/>
        <w:jc w:val="both"/>
        <w:rPr>
          <w:rFonts w:ascii="Arial" w:hAnsi="Arial" w:cs="Arial"/>
          <w:lang w:val="fr-FR"/>
        </w:rPr>
      </w:pPr>
    </w:p>
    <w:p w14:paraId="7FD3E8C6" w14:textId="77777777" w:rsidR="00B56D73" w:rsidRDefault="00B56D73" w:rsidP="00661738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s’intéresse désormais au synoptique du composant, rappelé page précédente.</w:t>
      </w:r>
    </w:p>
    <w:p w14:paraId="7FD3E8C7" w14:textId="77777777" w:rsidR="00B56D73" w:rsidRDefault="00B56D73" w:rsidP="00661738">
      <w:pPr>
        <w:pStyle w:val="Sansinterligne"/>
        <w:jc w:val="both"/>
        <w:rPr>
          <w:rFonts w:ascii="Arial" w:hAnsi="Arial" w:cs="Arial"/>
          <w:lang w:val="fr-FR"/>
        </w:rPr>
      </w:pPr>
    </w:p>
    <w:p w14:paraId="7FD3E8C8" w14:textId="77777777" w:rsidR="0016248D" w:rsidRDefault="00B56D73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Expliquer en une phrase le fonctionnement d’une photodiode.</w:t>
      </w:r>
      <w:r w:rsidR="00B420A6">
        <w:rPr>
          <w:rFonts w:ascii="Arial" w:hAnsi="Arial" w:cs="Arial"/>
          <w:lang w:val="fr-FR"/>
        </w:rPr>
        <w:t xml:space="preserve"> Préciser le sens de circulation du courant dans la photodiode.</w:t>
      </w:r>
    </w:p>
    <w:p w14:paraId="7FD3E8C9" w14:textId="77777777" w:rsidR="006C43D0" w:rsidRDefault="006C43D0" w:rsidP="006C43D0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6C43D0">
        <w:rPr>
          <w:rFonts w:ascii="Arial" w:hAnsi="Arial" w:cs="Arial"/>
          <w:b/>
          <w:color w:val="0000CC"/>
          <w:lang w:val="fr-FR"/>
        </w:rPr>
        <w:t>Une photodiode est un composant photorécepteur qui, lorsqu’elle est éclairée, est parcouru par un courant inverse dont l’intensité est fonction de l’éclairement qu’elle reçoit.</w:t>
      </w:r>
    </w:p>
    <w:p w14:paraId="7FD3E8CA" w14:textId="77777777" w:rsidR="00B420A6" w:rsidRPr="006C43D0" w:rsidRDefault="00B420A6" w:rsidP="006C43D0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Le courant rentre par la cathode et sort par l’anode de la photodiode, ce qui suppose qu’elle soit polarisée en inverse.</w:t>
      </w:r>
    </w:p>
    <w:p w14:paraId="7FD3E8CB" w14:textId="77777777" w:rsidR="006C43D0" w:rsidRDefault="006C43D0" w:rsidP="006C43D0">
      <w:pPr>
        <w:pStyle w:val="Sansinterligne"/>
        <w:jc w:val="both"/>
        <w:rPr>
          <w:rFonts w:ascii="Arial" w:hAnsi="Arial" w:cs="Arial"/>
          <w:lang w:val="fr-FR"/>
        </w:rPr>
      </w:pPr>
    </w:p>
    <w:p w14:paraId="7FD3E8CC" w14:textId="77777777" w:rsidR="00B56D73" w:rsidRDefault="00B56D73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différence entre les deux photodiodes intégrées au composant TSL2571.</w:t>
      </w:r>
    </w:p>
    <w:p w14:paraId="7FD3E8CD" w14:textId="77777777" w:rsidR="006C43D0" w:rsidRPr="006C43D0" w:rsidRDefault="006C43D0" w:rsidP="006C43D0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6C43D0">
        <w:rPr>
          <w:rFonts w:ascii="Arial" w:hAnsi="Arial" w:cs="Arial"/>
          <w:b/>
          <w:color w:val="0000CC"/>
          <w:lang w:val="fr-FR"/>
        </w:rPr>
        <w:t>La photodiode affectée au canal 0 est sensible aux rayonnements électromagnétiques des domaines visible et infrarouge, alors que celle associée au canal 1 n’est sensible qu’aux rayonnements du domaine infrarouge</w:t>
      </w:r>
      <w:r>
        <w:rPr>
          <w:rFonts w:ascii="Arial" w:hAnsi="Arial" w:cs="Arial"/>
          <w:b/>
          <w:color w:val="0000CC"/>
          <w:lang w:val="fr-FR"/>
        </w:rPr>
        <w:t xml:space="preserve"> (page 4)</w:t>
      </w:r>
      <w:r w:rsidRPr="006C43D0">
        <w:rPr>
          <w:rFonts w:ascii="Arial" w:hAnsi="Arial" w:cs="Arial"/>
          <w:b/>
          <w:color w:val="0000CC"/>
          <w:lang w:val="fr-FR"/>
        </w:rPr>
        <w:t>.</w:t>
      </w:r>
    </w:p>
    <w:p w14:paraId="7FD3E8CE" w14:textId="77777777" w:rsidR="006C43D0" w:rsidRDefault="006C43D0" w:rsidP="006C43D0">
      <w:pPr>
        <w:pStyle w:val="Sansinterligne"/>
        <w:jc w:val="both"/>
        <w:rPr>
          <w:rFonts w:ascii="Arial" w:hAnsi="Arial" w:cs="Arial"/>
          <w:lang w:val="fr-FR"/>
        </w:rPr>
      </w:pPr>
    </w:p>
    <w:p w14:paraId="7FD3E8CF" w14:textId="77777777" w:rsidR="00B56D73" w:rsidRDefault="00B56D73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Rappeler la plage de fréquences et de longueurs des ondes électromagnétiques appartenant au domaine visible</w:t>
      </w:r>
      <w:r w:rsidR="00B420A6">
        <w:rPr>
          <w:rFonts w:ascii="Arial" w:hAnsi="Arial" w:cs="Arial"/>
          <w:lang w:val="fr-FR"/>
        </w:rPr>
        <w:t xml:space="preserve"> ainsi qu’au domaine des infrarouges</w:t>
      </w:r>
      <w:r>
        <w:rPr>
          <w:rFonts w:ascii="Arial" w:hAnsi="Arial" w:cs="Arial"/>
          <w:lang w:val="fr-FR"/>
        </w:rPr>
        <w:t>.</w:t>
      </w:r>
    </w:p>
    <w:p w14:paraId="7FD3E8D0" w14:textId="77777777" w:rsidR="006C43D0" w:rsidRDefault="006C43D0" w:rsidP="006C43D0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Sachant que longueur d’ondes </w:t>
      </w:r>
      <w:r w:rsidR="002208AC" w:rsidRPr="002208AC">
        <w:rPr>
          <w:rFonts w:ascii="Cambria Math" w:hAnsi="Cambria Math" w:cs="Arial"/>
          <w:b/>
          <w:color w:val="0000CC"/>
          <w:lang w:val="fr-FR"/>
        </w:rPr>
        <w:t>λ</w:t>
      </w:r>
      <w:r>
        <w:rPr>
          <w:rFonts w:ascii="Arial" w:hAnsi="Arial" w:cs="Arial"/>
          <w:b/>
          <w:color w:val="0000CC"/>
          <w:lang w:val="fr-FR"/>
        </w:rPr>
        <w:t xml:space="preserve"> et la fréquence </w:t>
      </w:r>
      <w:r w:rsidRPr="002208AC">
        <w:rPr>
          <w:rFonts w:ascii="Cambria Math" w:hAnsi="Cambria Math" w:cs="Arial"/>
          <w:b/>
          <w:color w:val="0000CC"/>
          <w:lang w:val="fr-FR"/>
        </w:rPr>
        <w:t>f</w:t>
      </w:r>
      <w:r>
        <w:rPr>
          <w:rFonts w:ascii="Arial" w:hAnsi="Arial" w:cs="Arial"/>
          <w:b/>
          <w:color w:val="0000CC"/>
          <w:lang w:val="fr-FR"/>
        </w:rPr>
        <w:t xml:space="preserve"> des ondes électromagnétiques sont liées par la relation</w:t>
      </w:r>
      <w:r w:rsidRPr="002208AC">
        <w:rPr>
          <w:rFonts w:ascii="Arial" w:hAnsi="Arial" w:cs="Arial"/>
          <w:b/>
          <w:color w:val="0000CC"/>
          <w:lang w:val="fr-FR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color w:val="0000CC"/>
            <w:lang w:val="fr-FR"/>
          </w:rPr>
          <m:t>λ=</m:t>
        </m:r>
        <m:f>
          <m:fPr>
            <m:ctrlPr>
              <w:rPr>
                <w:rFonts w:ascii="Cambria Math" w:hAnsi="Cambria Math" w:cs="Arial"/>
                <w:b/>
                <w:color w:val="0000CC"/>
                <w:lang w:val="fr-F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0000CC"/>
                <w:lang w:val="fr-FR"/>
              </w:rPr>
              <m:t>c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0000CC"/>
                <w:lang w:val="fr-FR"/>
              </w:rPr>
              <m:t>f</m:t>
            </m:r>
          </m:den>
        </m:f>
      </m:oMath>
      <w:r>
        <w:rPr>
          <w:rFonts w:ascii="Arial" w:hAnsi="Arial" w:cs="Arial"/>
          <w:b/>
          <w:color w:val="0000CC"/>
          <w:lang w:val="fr-FR"/>
        </w:rPr>
        <w:t xml:space="preserve"> </w:t>
      </w:r>
      <w:r w:rsidR="002208AC">
        <w:rPr>
          <w:rFonts w:ascii="Arial" w:hAnsi="Arial" w:cs="Arial"/>
          <w:b/>
          <w:color w:val="0000CC"/>
          <w:lang w:val="fr-FR"/>
        </w:rPr>
        <w:t xml:space="preserve"> avec c </w:t>
      </w:r>
      <w:r w:rsidR="002208AC">
        <w:rPr>
          <w:rFonts w:ascii="Arial" w:hAnsi="Arial" w:cs="Arial"/>
          <w:b/>
          <w:color w:val="0000CC"/>
          <w:lang w:val="fr-FR"/>
        </w:rPr>
        <w:sym w:font="Symbol" w:char="F0BB"/>
      </w:r>
      <w:r w:rsidR="002208AC">
        <w:rPr>
          <w:rFonts w:ascii="Arial" w:hAnsi="Arial" w:cs="Arial"/>
          <w:b/>
          <w:color w:val="0000CC"/>
          <w:lang w:val="fr-FR"/>
        </w:rPr>
        <w:t xml:space="preserve"> 300 000 </w:t>
      </w:r>
      <w:proofErr w:type="gramStart"/>
      <w:r w:rsidR="002208AC">
        <w:rPr>
          <w:rFonts w:ascii="Arial" w:hAnsi="Arial" w:cs="Arial"/>
          <w:b/>
          <w:color w:val="0000CC"/>
          <w:lang w:val="fr-FR"/>
        </w:rPr>
        <w:t>km.</w:t>
      </w:r>
      <w:r w:rsidR="002208AC" w:rsidRPr="002208AC">
        <w:rPr>
          <w:rFonts w:ascii="Arial" w:hAnsi="Arial" w:cs="Arial"/>
          <w:b/>
          <w:color w:val="0000CC"/>
          <w:vertAlign w:val="superscript"/>
          <w:lang w:val="fr-FR"/>
        </w:rPr>
        <w:t>s</w:t>
      </w:r>
      <w:proofErr w:type="gramEnd"/>
      <w:r w:rsidR="002208AC" w:rsidRPr="002208AC">
        <w:rPr>
          <w:rFonts w:ascii="Arial" w:hAnsi="Arial" w:cs="Arial"/>
          <w:b/>
          <w:color w:val="0000CC"/>
          <w:vertAlign w:val="superscript"/>
          <w:lang w:val="fr-FR"/>
        </w:rPr>
        <w:t>-1</w:t>
      </w:r>
      <w:r w:rsidR="002208AC">
        <w:rPr>
          <w:rFonts w:ascii="Arial" w:hAnsi="Arial" w:cs="Arial"/>
          <w:b/>
          <w:color w:val="0000CC"/>
          <w:lang w:val="fr-FR"/>
        </w:rPr>
        <w:t>, la célérité de la lumière, on obtient :</w:t>
      </w:r>
    </w:p>
    <w:p w14:paraId="7FD3E8D1" w14:textId="77777777" w:rsidR="002208AC" w:rsidRDefault="002208AC" w:rsidP="002208AC">
      <w:pPr>
        <w:pStyle w:val="Sansinterligne"/>
        <w:numPr>
          <w:ilvl w:val="0"/>
          <w:numId w:val="14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Spectre des ondes visibles : 390 nm ≤ </w:t>
      </w:r>
      <w:r w:rsidRPr="002208AC">
        <w:rPr>
          <w:rFonts w:ascii="Cambria Math" w:hAnsi="Cambria Math" w:cs="Arial"/>
          <w:b/>
          <w:color w:val="0000CC"/>
          <w:lang w:val="fr-FR"/>
        </w:rPr>
        <w:t>λ</w:t>
      </w:r>
      <w:r>
        <w:rPr>
          <w:rFonts w:ascii="Cambria Math" w:hAnsi="Cambria Math" w:cs="Arial"/>
          <w:b/>
          <w:color w:val="0000CC"/>
          <w:lang w:val="fr-FR"/>
        </w:rPr>
        <w:t xml:space="preserve"> </w:t>
      </w:r>
      <w:r w:rsidRPr="002208AC">
        <w:rPr>
          <w:rFonts w:ascii="Arial" w:hAnsi="Arial" w:cs="Arial"/>
          <w:b/>
          <w:color w:val="0000CC"/>
          <w:lang w:val="fr-FR"/>
        </w:rPr>
        <w:t>&lt; 750 nm</w:t>
      </w:r>
      <w:r>
        <w:rPr>
          <w:rFonts w:ascii="Arial" w:hAnsi="Arial" w:cs="Arial"/>
          <w:b/>
          <w:color w:val="0000CC"/>
          <w:lang w:val="fr-FR"/>
        </w:rPr>
        <w:t xml:space="preserve"> ou 770 </w:t>
      </w:r>
      <w:proofErr w:type="spellStart"/>
      <w:r>
        <w:rPr>
          <w:rFonts w:ascii="Arial" w:hAnsi="Arial" w:cs="Arial"/>
          <w:b/>
          <w:color w:val="0000CC"/>
          <w:lang w:val="fr-FR"/>
        </w:rPr>
        <w:t>THz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≥ </w:t>
      </w:r>
      <w:r w:rsidRPr="002208AC">
        <w:rPr>
          <w:rFonts w:ascii="Cambria Math" w:hAnsi="Cambria Math" w:cs="Arial"/>
          <w:b/>
          <w:color w:val="0000CC"/>
          <w:lang w:val="fr-FR"/>
        </w:rPr>
        <w:t>f</w:t>
      </w:r>
      <w:r>
        <w:rPr>
          <w:rFonts w:ascii="Cambria Math" w:hAnsi="Cambria Math" w:cs="Arial"/>
          <w:b/>
          <w:color w:val="0000CC"/>
          <w:lang w:val="fr-FR"/>
        </w:rPr>
        <w:t xml:space="preserve"> </w:t>
      </w:r>
      <w:r>
        <w:rPr>
          <w:rFonts w:ascii="Arial" w:hAnsi="Arial" w:cs="Arial"/>
          <w:b/>
          <w:color w:val="0000CC"/>
          <w:lang w:val="fr-FR"/>
        </w:rPr>
        <w:t xml:space="preserve">&gt; 400 </w:t>
      </w:r>
      <w:proofErr w:type="spellStart"/>
      <w:r>
        <w:rPr>
          <w:rFonts w:ascii="Arial" w:hAnsi="Arial" w:cs="Arial"/>
          <w:b/>
          <w:color w:val="0000CC"/>
          <w:lang w:val="fr-FR"/>
        </w:rPr>
        <w:t>THz</w:t>
      </w:r>
      <w:proofErr w:type="spellEnd"/>
      <w:r>
        <w:rPr>
          <w:rFonts w:ascii="Arial" w:hAnsi="Arial" w:cs="Arial"/>
          <w:b/>
          <w:color w:val="0000CC"/>
          <w:lang w:val="fr-FR"/>
        </w:rPr>
        <w:t> ;</w:t>
      </w:r>
    </w:p>
    <w:p w14:paraId="7FD3E8D2" w14:textId="77777777" w:rsidR="002208AC" w:rsidRDefault="002208AC" w:rsidP="002208AC">
      <w:pPr>
        <w:pStyle w:val="Sansinterligne"/>
        <w:numPr>
          <w:ilvl w:val="0"/>
          <w:numId w:val="14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Spectre des ondes infrarouges : 750 nm ≤ </w:t>
      </w:r>
      <w:r w:rsidRPr="002208AC">
        <w:rPr>
          <w:rFonts w:ascii="Cambria Math" w:hAnsi="Cambria Math" w:cs="Arial"/>
          <w:b/>
          <w:color w:val="0000CC"/>
          <w:lang w:val="fr-FR"/>
        </w:rPr>
        <w:t>λ</w:t>
      </w:r>
      <w:r>
        <w:rPr>
          <w:rFonts w:ascii="Cambria Math" w:hAnsi="Cambria Math" w:cs="Arial"/>
          <w:b/>
          <w:color w:val="0000CC"/>
          <w:lang w:val="fr-FR"/>
        </w:rPr>
        <w:t xml:space="preserve"> </w:t>
      </w:r>
      <w:r w:rsidRPr="002208AC">
        <w:rPr>
          <w:rFonts w:ascii="Arial" w:hAnsi="Arial" w:cs="Arial"/>
          <w:b/>
          <w:color w:val="0000CC"/>
          <w:lang w:val="fr-FR"/>
        </w:rPr>
        <w:t xml:space="preserve">&lt; </w:t>
      </w:r>
      <w:r>
        <w:rPr>
          <w:rFonts w:ascii="Arial" w:hAnsi="Arial" w:cs="Arial"/>
          <w:b/>
          <w:color w:val="0000CC"/>
          <w:lang w:val="fr-FR"/>
        </w:rPr>
        <w:t>100 µ</w:t>
      </w:r>
      <w:r w:rsidRPr="002208AC">
        <w:rPr>
          <w:rFonts w:ascii="Arial" w:hAnsi="Arial" w:cs="Arial"/>
          <w:b/>
          <w:color w:val="0000CC"/>
          <w:lang w:val="fr-FR"/>
        </w:rPr>
        <w:t>m</w:t>
      </w:r>
      <w:r>
        <w:rPr>
          <w:rFonts w:ascii="Arial" w:hAnsi="Arial" w:cs="Arial"/>
          <w:b/>
          <w:color w:val="0000CC"/>
          <w:lang w:val="fr-FR"/>
        </w:rPr>
        <w:t xml:space="preserve"> ou </w:t>
      </w:r>
      <w:r w:rsidR="00B420A6">
        <w:rPr>
          <w:rFonts w:ascii="Arial" w:hAnsi="Arial" w:cs="Arial"/>
          <w:b/>
          <w:color w:val="0000CC"/>
          <w:lang w:val="fr-FR"/>
        </w:rPr>
        <w:t>400</w:t>
      </w:r>
      <w:r>
        <w:rPr>
          <w:rFonts w:ascii="Arial" w:hAnsi="Arial" w:cs="Arial"/>
          <w:b/>
          <w:color w:val="0000CC"/>
          <w:lang w:val="fr-FR"/>
        </w:rPr>
        <w:t xml:space="preserve"> </w:t>
      </w:r>
      <w:proofErr w:type="spellStart"/>
      <w:r>
        <w:rPr>
          <w:rFonts w:ascii="Arial" w:hAnsi="Arial" w:cs="Arial"/>
          <w:b/>
          <w:color w:val="0000CC"/>
          <w:lang w:val="fr-FR"/>
        </w:rPr>
        <w:t>THz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≥ </w:t>
      </w:r>
      <w:r w:rsidRPr="002208AC">
        <w:rPr>
          <w:rFonts w:ascii="Cambria Math" w:hAnsi="Cambria Math" w:cs="Arial"/>
          <w:b/>
          <w:color w:val="0000CC"/>
          <w:lang w:val="fr-FR"/>
        </w:rPr>
        <w:t>f</w:t>
      </w:r>
      <w:r>
        <w:rPr>
          <w:rFonts w:ascii="Cambria Math" w:hAnsi="Cambria Math" w:cs="Arial"/>
          <w:b/>
          <w:color w:val="0000CC"/>
          <w:lang w:val="fr-FR"/>
        </w:rPr>
        <w:t xml:space="preserve"> </w:t>
      </w:r>
      <w:r>
        <w:rPr>
          <w:rFonts w:ascii="Arial" w:hAnsi="Arial" w:cs="Arial"/>
          <w:b/>
          <w:color w:val="0000CC"/>
          <w:lang w:val="fr-FR"/>
        </w:rPr>
        <w:t xml:space="preserve">&gt; </w:t>
      </w:r>
      <w:r w:rsidR="00B420A6">
        <w:rPr>
          <w:rFonts w:ascii="Arial" w:hAnsi="Arial" w:cs="Arial"/>
          <w:b/>
          <w:color w:val="0000CC"/>
          <w:lang w:val="fr-FR"/>
        </w:rPr>
        <w:t>3</w:t>
      </w:r>
      <w:r>
        <w:rPr>
          <w:rFonts w:ascii="Arial" w:hAnsi="Arial" w:cs="Arial"/>
          <w:b/>
          <w:color w:val="0000CC"/>
          <w:lang w:val="fr-FR"/>
        </w:rPr>
        <w:t xml:space="preserve"> </w:t>
      </w:r>
      <w:proofErr w:type="spellStart"/>
      <w:r>
        <w:rPr>
          <w:rFonts w:ascii="Arial" w:hAnsi="Arial" w:cs="Arial"/>
          <w:b/>
          <w:color w:val="0000CC"/>
          <w:lang w:val="fr-FR"/>
        </w:rPr>
        <w:t>THz</w:t>
      </w:r>
      <w:proofErr w:type="spellEnd"/>
      <w:r w:rsidR="00B420A6">
        <w:rPr>
          <w:rFonts w:ascii="Arial" w:hAnsi="Arial" w:cs="Arial"/>
          <w:b/>
          <w:color w:val="0000CC"/>
          <w:lang w:val="fr-FR"/>
        </w:rPr>
        <w:t>.</w:t>
      </w:r>
    </w:p>
    <w:p w14:paraId="7FD3E8D3" w14:textId="77777777" w:rsidR="006C43D0" w:rsidRDefault="006C43D0" w:rsidP="006C43D0">
      <w:pPr>
        <w:pStyle w:val="Sansinterligne"/>
        <w:jc w:val="both"/>
        <w:rPr>
          <w:rFonts w:ascii="Arial" w:hAnsi="Arial" w:cs="Arial"/>
          <w:lang w:val="fr-FR"/>
        </w:rPr>
      </w:pPr>
    </w:p>
    <w:p w14:paraId="7FD3E8D4" w14:textId="77777777" w:rsidR="00B56D73" w:rsidRDefault="00B420A6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résolution des convertisseurs analogique numérique ADC mentionnés sur le synoptique et préciser à quel endroit est stocké le résultat de conversion analogique numérique.</w:t>
      </w:r>
    </w:p>
    <w:p w14:paraId="7FD3E8D5" w14:textId="77777777" w:rsidR="00B420A6" w:rsidRDefault="00B420A6" w:rsidP="00B420A6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B420A6">
        <w:rPr>
          <w:rFonts w:ascii="Arial" w:hAnsi="Arial" w:cs="Arial"/>
          <w:b/>
          <w:color w:val="0000CC"/>
          <w:lang w:val="fr-FR"/>
        </w:rPr>
        <w:t>La résolution des convertisseurs AN est de 16 bits. Les résultats de conversion analogique numérique sont notés CHO Data et CH1 Data et stockés dans des registres de données (page 4).</w:t>
      </w:r>
    </w:p>
    <w:p w14:paraId="7FD3E8D6" w14:textId="77777777" w:rsidR="00B420A6" w:rsidRDefault="00B420A6" w:rsidP="00B420A6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7FD3E8D7" w14:textId="77777777" w:rsidR="00B420A6" w:rsidRDefault="00B420A6" w:rsidP="00E865A6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Indiquer, dans notre cas, à quoi serviront ces données CH0 Data et CH1 Data.</w:t>
      </w:r>
    </w:p>
    <w:p w14:paraId="7FD3E8D8" w14:textId="77777777" w:rsidR="00B420A6" w:rsidRDefault="00B420A6" w:rsidP="00B420A6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B420A6">
        <w:rPr>
          <w:rFonts w:ascii="Arial" w:hAnsi="Arial" w:cs="Arial"/>
          <w:b/>
          <w:color w:val="0000CC"/>
          <w:lang w:val="fr-FR"/>
        </w:rPr>
        <w:t>C’est à partir de ces données que le µC calculera la grandeur éclairement lumineux en lux.</w:t>
      </w:r>
    </w:p>
    <w:p w14:paraId="7FD3E8D9" w14:textId="77777777" w:rsidR="00B420A6" w:rsidRDefault="00B420A6" w:rsidP="00B420A6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7FD3E8DA" w14:textId="77777777" w:rsidR="00B420A6" w:rsidRDefault="00E169AF" w:rsidP="00E865A6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</w:rPr>
      </w:pPr>
      <w:r w:rsidRPr="00E169AF">
        <w:rPr>
          <w:rFonts w:ascii="Arial" w:hAnsi="Arial" w:cs="Arial"/>
        </w:rPr>
        <w:t xml:space="preserve">Justifier </w:t>
      </w:r>
      <w:proofErr w:type="spellStart"/>
      <w:r w:rsidRPr="00E169AF">
        <w:rPr>
          <w:rFonts w:ascii="Arial" w:hAnsi="Arial" w:cs="Arial"/>
        </w:rPr>
        <w:t>l’argument</w:t>
      </w:r>
      <w:proofErr w:type="spellEnd"/>
      <w:r w:rsidRPr="00E169AF">
        <w:rPr>
          <w:rFonts w:ascii="Arial" w:hAnsi="Arial" w:cs="Arial"/>
        </w:rPr>
        <w:t xml:space="preserve"> du </w:t>
      </w:r>
      <w:proofErr w:type="spellStart"/>
      <w:r w:rsidRPr="00E169AF">
        <w:rPr>
          <w:rFonts w:ascii="Arial" w:hAnsi="Arial" w:cs="Arial"/>
        </w:rPr>
        <w:t>constructeur</w:t>
      </w:r>
      <w:proofErr w:type="spellEnd"/>
      <w:r w:rsidRPr="00E169AF">
        <w:rPr>
          <w:rFonts w:ascii="Arial" w:hAnsi="Arial" w:cs="Arial"/>
        </w:rPr>
        <w:t xml:space="preserve"> </w:t>
      </w:r>
      <w:proofErr w:type="spellStart"/>
      <w:r w:rsidRPr="00E169AF">
        <w:rPr>
          <w:rFonts w:ascii="Arial" w:hAnsi="Arial" w:cs="Arial"/>
        </w:rPr>
        <w:t>selon</w:t>
      </w:r>
      <w:proofErr w:type="spellEnd"/>
      <w:r w:rsidRPr="00E169AF">
        <w:rPr>
          <w:rFonts w:ascii="Arial" w:hAnsi="Arial" w:cs="Arial"/>
        </w:rPr>
        <w:t xml:space="preserve"> </w:t>
      </w:r>
      <w:proofErr w:type="spellStart"/>
      <w:r w:rsidRPr="00E169AF">
        <w:rPr>
          <w:rFonts w:ascii="Arial" w:hAnsi="Arial" w:cs="Arial"/>
        </w:rPr>
        <w:t>lequel</w:t>
      </w:r>
      <w:proofErr w:type="spellEnd"/>
      <w:r w:rsidRPr="00E169AF">
        <w:rPr>
          <w:rFonts w:ascii="Arial" w:hAnsi="Arial" w:cs="Arial"/>
        </w:rPr>
        <w:t xml:space="preserve"> « </w:t>
      </w:r>
      <w:r w:rsidRPr="00E169AF">
        <w:rPr>
          <w:rFonts w:ascii="Arial" w:hAnsi="Arial" w:cs="Arial"/>
          <w:i/>
        </w:rPr>
        <w:t>The digital output of the device in inherently more immune to noise compared to an analog interface.</w:t>
      </w:r>
      <w:r w:rsidRPr="00E169AF">
        <w:rPr>
          <w:rFonts w:ascii="Arial" w:hAnsi="Arial" w:cs="Arial"/>
        </w:rPr>
        <w:t xml:space="preserve"> </w:t>
      </w:r>
      <w:r w:rsidRPr="0066173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14:paraId="7FD3E8DB" w14:textId="77777777" w:rsidR="00E169AF" w:rsidRPr="00E169AF" w:rsidRDefault="00E169AF" w:rsidP="00E169AF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E169AF">
        <w:rPr>
          <w:rFonts w:ascii="Arial" w:hAnsi="Arial" w:cs="Arial"/>
          <w:b/>
          <w:color w:val="0000CC"/>
          <w:lang w:val="fr-FR"/>
        </w:rPr>
        <w:t>U</w:t>
      </w:r>
      <w:r w:rsidR="00487A0B">
        <w:rPr>
          <w:rFonts w:ascii="Arial" w:hAnsi="Arial" w:cs="Arial"/>
          <w:b/>
          <w:color w:val="0000CC"/>
          <w:lang w:val="fr-FR"/>
        </w:rPr>
        <w:t>ne sortie numérique qui délivre un signal binaire est</w:t>
      </w:r>
      <w:r w:rsidRPr="00E169AF">
        <w:rPr>
          <w:rFonts w:ascii="Arial" w:hAnsi="Arial" w:cs="Arial"/>
          <w:b/>
          <w:color w:val="0000CC"/>
          <w:lang w:val="fr-FR"/>
        </w:rPr>
        <w:t xml:space="preserve"> bien moins sensible au bruit ambient (pour qu’un 1 se transforme en 0 ou inversement, il faut un bruit d’amplitude supérieur à </w:t>
      </w:r>
      <w:proofErr w:type="spellStart"/>
      <w:r w:rsidRPr="00E169AF">
        <w:rPr>
          <w:rFonts w:ascii="Arial" w:hAnsi="Arial" w:cs="Arial"/>
          <w:b/>
          <w:color w:val="0000CC"/>
          <w:lang w:val="fr-FR"/>
        </w:rPr>
        <w:t>Vdd</w:t>
      </w:r>
      <w:proofErr w:type="spellEnd"/>
      <w:r w:rsidRPr="00E169AF">
        <w:rPr>
          <w:rFonts w:ascii="Arial" w:hAnsi="Arial" w:cs="Arial"/>
          <w:b/>
          <w:color w:val="0000CC"/>
          <w:lang w:val="fr-FR"/>
        </w:rPr>
        <w:t>/2).</w:t>
      </w:r>
    </w:p>
    <w:p w14:paraId="7FD3E8DC" w14:textId="77777777" w:rsidR="00E169AF" w:rsidRDefault="00E169AF" w:rsidP="00E169AF">
      <w:pPr>
        <w:pStyle w:val="Sansinterligne"/>
        <w:jc w:val="both"/>
        <w:rPr>
          <w:rFonts w:ascii="Arial" w:hAnsi="Arial" w:cs="Arial"/>
          <w:lang w:val="fr-FR"/>
        </w:rPr>
      </w:pPr>
    </w:p>
    <w:p w14:paraId="7FD3E8DD" w14:textId="77777777" w:rsidR="00E169AF" w:rsidRDefault="00487A0B" w:rsidP="00E865A6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les deux types d’évènements pouvant conduire le composant TSL2571 à élaborer une requête d’interruption.</w:t>
      </w:r>
    </w:p>
    <w:p w14:paraId="7FD3E8DE" w14:textId="77777777" w:rsidR="007A1214" w:rsidRPr="007A1214" w:rsidRDefault="00487A0B" w:rsidP="00487A0B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7A1214">
        <w:rPr>
          <w:rFonts w:ascii="Arial" w:hAnsi="Arial" w:cs="Arial"/>
          <w:b/>
          <w:color w:val="0000CC"/>
          <w:lang w:val="fr-FR"/>
        </w:rPr>
        <w:t xml:space="preserve">On peut configurer le TSL2571 pour qu’il élabore une requête d’interruption lorsque la lumière ambiante est </w:t>
      </w:r>
      <w:r w:rsidR="007A1214" w:rsidRPr="007A1214">
        <w:rPr>
          <w:rFonts w:ascii="Arial" w:hAnsi="Arial" w:cs="Arial"/>
          <w:b/>
          <w:color w:val="0000CC"/>
          <w:lang w:val="fr-FR"/>
        </w:rPr>
        <w:t xml:space="preserve">soit </w:t>
      </w:r>
      <w:r w:rsidRPr="007A1214">
        <w:rPr>
          <w:rFonts w:ascii="Arial" w:hAnsi="Arial" w:cs="Arial"/>
          <w:b/>
          <w:color w:val="0000CC"/>
          <w:lang w:val="fr-FR"/>
        </w:rPr>
        <w:t>supérieure à un certain seuil haut</w:t>
      </w:r>
      <w:r w:rsidR="007A1214" w:rsidRPr="007A1214">
        <w:rPr>
          <w:rFonts w:ascii="Arial" w:hAnsi="Arial" w:cs="Arial"/>
          <w:b/>
          <w:color w:val="0000CC"/>
          <w:lang w:val="fr-FR"/>
        </w:rPr>
        <w:t>, soit inférieure à un certain seuil bas. Les valeurs de seuils haut et bas sont mémorisés dans les blocs « </w:t>
      </w:r>
      <w:proofErr w:type="spellStart"/>
      <w:r w:rsidR="007A1214" w:rsidRPr="007A1214">
        <w:rPr>
          <w:rFonts w:ascii="Arial" w:hAnsi="Arial" w:cs="Arial"/>
          <w:b/>
          <w:color w:val="0000CC"/>
          <w:lang w:val="fr-FR"/>
        </w:rPr>
        <w:t>Upper</w:t>
      </w:r>
      <w:proofErr w:type="spellEnd"/>
      <w:r w:rsidR="007A1214" w:rsidRPr="007A1214">
        <w:rPr>
          <w:rFonts w:ascii="Arial" w:hAnsi="Arial" w:cs="Arial"/>
          <w:b/>
          <w:color w:val="0000CC"/>
          <w:lang w:val="fr-FR"/>
        </w:rPr>
        <w:t xml:space="preserve"> Limit » et « </w:t>
      </w:r>
      <w:proofErr w:type="spellStart"/>
      <w:r w:rsidR="007A1214" w:rsidRPr="007A1214">
        <w:rPr>
          <w:rFonts w:ascii="Arial" w:hAnsi="Arial" w:cs="Arial"/>
          <w:b/>
          <w:color w:val="0000CC"/>
          <w:lang w:val="fr-FR"/>
        </w:rPr>
        <w:t>Lower</w:t>
      </w:r>
      <w:proofErr w:type="spellEnd"/>
      <w:r w:rsidR="007A1214" w:rsidRPr="007A1214">
        <w:rPr>
          <w:rFonts w:ascii="Arial" w:hAnsi="Arial" w:cs="Arial"/>
          <w:b/>
          <w:color w:val="0000CC"/>
          <w:lang w:val="fr-FR"/>
        </w:rPr>
        <w:t xml:space="preserve"> </w:t>
      </w:r>
      <w:proofErr w:type="spellStart"/>
      <w:r w:rsidR="007A1214" w:rsidRPr="007A1214">
        <w:rPr>
          <w:rFonts w:ascii="Arial" w:hAnsi="Arial" w:cs="Arial"/>
          <w:b/>
          <w:color w:val="0000CC"/>
          <w:lang w:val="fr-FR"/>
        </w:rPr>
        <w:t>Linmit</w:t>
      </w:r>
      <w:proofErr w:type="spellEnd"/>
      <w:r w:rsidR="007A1214" w:rsidRPr="007A1214">
        <w:rPr>
          <w:rFonts w:ascii="Arial" w:hAnsi="Arial" w:cs="Arial"/>
          <w:b/>
          <w:color w:val="0000CC"/>
          <w:lang w:val="fr-FR"/>
        </w:rPr>
        <w:t> » du synoptique.</w:t>
      </w:r>
    </w:p>
    <w:p w14:paraId="7FD3E8DF" w14:textId="77777777" w:rsidR="007A1214" w:rsidRDefault="007A1214" w:rsidP="00487A0B">
      <w:pPr>
        <w:pStyle w:val="Sansinterligne"/>
        <w:jc w:val="both"/>
        <w:rPr>
          <w:rFonts w:ascii="Arial" w:hAnsi="Arial" w:cs="Arial"/>
          <w:lang w:val="fr-FR"/>
        </w:rPr>
      </w:pPr>
    </w:p>
    <w:p w14:paraId="7FD3E8E0" w14:textId="77777777" w:rsidR="007A1214" w:rsidRDefault="00A5336A" w:rsidP="00E865A6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le type de signal délivré par la broche de sortie INT à l’instant où le composant élabore une requête d’interruption.</w:t>
      </w:r>
    </w:p>
    <w:p w14:paraId="7FD3E8E1" w14:textId="77777777" w:rsidR="00A5336A" w:rsidRPr="00A5336A" w:rsidRDefault="00A5336A" w:rsidP="00A5336A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A5336A">
        <w:rPr>
          <w:rFonts w:ascii="Arial" w:hAnsi="Arial" w:cs="Arial"/>
          <w:b/>
          <w:color w:val="0000CC"/>
          <w:lang w:val="fr-FR"/>
        </w:rPr>
        <w:t>La sortie INT élabore un front descendant (page 2).</w:t>
      </w:r>
    </w:p>
    <w:p w14:paraId="7FD3E8E2" w14:textId="77777777" w:rsidR="00A5336A" w:rsidRDefault="00A5336A" w:rsidP="00A5336A">
      <w:pPr>
        <w:pStyle w:val="Sansinterligne"/>
        <w:jc w:val="both"/>
        <w:rPr>
          <w:rFonts w:ascii="Arial" w:hAnsi="Arial" w:cs="Arial"/>
          <w:lang w:val="fr-FR"/>
        </w:rPr>
      </w:pPr>
    </w:p>
    <w:p w14:paraId="7FD3E8E3" w14:textId="77777777" w:rsidR="00A5336A" w:rsidRDefault="00A5336A" w:rsidP="00E865A6">
      <w:pPr>
        <w:pStyle w:val="Sansinterligne"/>
        <w:numPr>
          <w:ilvl w:val="1"/>
          <w:numId w:val="1"/>
        </w:numPr>
        <w:ind w:left="794" w:hanging="56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Expliquer à quoi correspond l’expression « </w:t>
      </w:r>
      <w:r w:rsidRPr="00A5336A">
        <w:rPr>
          <w:rFonts w:ascii="Arial" w:hAnsi="Arial" w:cs="Arial"/>
          <w:i/>
          <w:lang w:val="fr-FR"/>
        </w:rPr>
        <w:t xml:space="preserve">programmable </w:t>
      </w:r>
      <w:proofErr w:type="spellStart"/>
      <w:r w:rsidRPr="00A5336A">
        <w:rPr>
          <w:rFonts w:ascii="Arial" w:hAnsi="Arial" w:cs="Arial"/>
          <w:i/>
          <w:lang w:val="fr-FR"/>
        </w:rPr>
        <w:t>interrupt</w:t>
      </w:r>
      <w:proofErr w:type="spellEnd"/>
      <w:r w:rsidRPr="00A5336A">
        <w:rPr>
          <w:rFonts w:ascii="Arial" w:hAnsi="Arial" w:cs="Arial"/>
          <w:i/>
          <w:lang w:val="fr-FR"/>
        </w:rPr>
        <w:t xml:space="preserve"> </w:t>
      </w:r>
      <w:proofErr w:type="spellStart"/>
      <w:r w:rsidRPr="00A5336A">
        <w:rPr>
          <w:rFonts w:ascii="Arial" w:hAnsi="Arial" w:cs="Arial"/>
          <w:i/>
          <w:lang w:val="fr-FR"/>
        </w:rPr>
        <w:t>persistence</w:t>
      </w:r>
      <w:proofErr w:type="spellEnd"/>
      <w:r w:rsidRPr="00A5336A">
        <w:rPr>
          <w:rFonts w:ascii="Arial" w:hAnsi="Arial" w:cs="Arial"/>
          <w:i/>
          <w:lang w:val="fr-FR"/>
        </w:rPr>
        <w:t xml:space="preserve"> </w:t>
      </w:r>
      <w:proofErr w:type="spellStart"/>
      <w:r w:rsidRPr="00A5336A">
        <w:rPr>
          <w:rFonts w:ascii="Arial" w:hAnsi="Arial" w:cs="Arial"/>
          <w:i/>
          <w:lang w:val="fr-FR"/>
        </w:rPr>
        <w:t>feature</w:t>
      </w:r>
      <w:proofErr w:type="spellEnd"/>
      <w:r>
        <w:rPr>
          <w:rFonts w:ascii="Arial" w:hAnsi="Arial" w:cs="Arial"/>
          <w:lang w:val="fr-FR"/>
        </w:rPr>
        <w:t> » mentionnée page 4.</w:t>
      </w:r>
    </w:p>
    <w:p w14:paraId="7FD3E8E4" w14:textId="77777777" w:rsidR="00A5336A" w:rsidRPr="005E4225" w:rsidRDefault="00A5336A" w:rsidP="00A5336A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5E4225">
        <w:rPr>
          <w:rFonts w:ascii="Arial" w:hAnsi="Arial" w:cs="Arial"/>
          <w:b/>
          <w:color w:val="0000CC"/>
          <w:lang w:val="fr-FR"/>
        </w:rPr>
        <w:t xml:space="preserve">Il est possible, afin de ne pas déclencher </w:t>
      </w:r>
      <w:r w:rsidR="005E4225" w:rsidRPr="005E4225">
        <w:rPr>
          <w:rFonts w:ascii="Arial" w:hAnsi="Arial" w:cs="Arial"/>
          <w:b/>
          <w:color w:val="0000CC"/>
          <w:lang w:val="fr-FR"/>
        </w:rPr>
        <w:t xml:space="preserve">des requêtes d’interruption non significatives, lorsque les seuils haut et/ou bas sont dépassés de façon fugitive à cause de « bruits lumineux », par exemple, de configurer le composant TSL2571 de telle façon qu’il ne déclenche réellement une requête d’interruption que lorsque les seuils haut et/ou bas ont été dépassés </w:t>
      </w:r>
      <w:r w:rsidR="007D02F5">
        <w:rPr>
          <w:rFonts w:ascii="Arial" w:hAnsi="Arial" w:cs="Arial"/>
          <w:b/>
          <w:color w:val="0000CC"/>
          <w:lang w:val="fr-FR"/>
        </w:rPr>
        <w:t xml:space="preserve">consécutivement </w:t>
      </w:r>
      <w:r w:rsidR="005E4225" w:rsidRPr="005E4225">
        <w:rPr>
          <w:rFonts w:ascii="Arial" w:hAnsi="Arial" w:cs="Arial"/>
          <w:b/>
          <w:color w:val="0000CC"/>
          <w:lang w:val="fr-FR"/>
        </w:rPr>
        <w:t>un certain nombre minimum de fois.</w:t>
      </w:r>
    </w:p>
    <w:p w14:paraId="7FD3E8E5" w14:textId="77777777" w:rsidR="00E169AF" w:rsidRDefault="00E169AF" w:rsidP="00E169AF">
      <w:pPr>
        <w:pStyle w:val="Sansinterligne"/>
        <w:jc w:val="both"/>
        <w:rPr>
          <w:rFonts w:ascii="Arial" w:hAnsi="Arial" w:cs="Arial"/>
          <w:lang w:val="fr-FR"/>
        </w:rPr>
      </w:pPr>
    </w:p>
    <w:p w14:paraId="7FD3E8E6" w14:textId="77777777" w:rsidR="00C72779" w:rsidRDefault="00C72779" w:rsidP="00E169AF">
      <w:pPr>
        <w:pStyle w:val="Sansinterligne"/>
        <w:jc w:val="both"/>
        <w:rPr>
          <w:rFonts w:ascii="Arial" w:hAnsi="Arial" w:cs="Arial"/>
          <w:lang w:val="fr-FR"/>
        </w:rPr>
      </w:pPr>
    </w:p>
    <w:p w14:paraId="7FD3E8E7" w14:textId="77777777" w:rsidR="00C72779" w:rsidRDefault="00C72779" w:rsidP="00E169AF">
      <w:pPr>
        <w:pStyle w:val="Sansinterligne"/>
        <w:jc w:val="both"/>
        <w:rPr>
          <w:rFonts w:ascii="Arial" w:hAnsi="Arial" w:cs="Arial"/>
          <w:lang w:val="fr-FR"/>
        </w:rPr>
      </w:pPr>
    </w:p>
    <w:p w14:paraId="7FD3E8E8" w14:textId="77777777" w:rsidR="00C72779" w:rsidRPr="00E169AF" w:rsidRDefault="00C72779" w:rsidP="00E169AF">
      <w:pPr>
        <w:pStyle w:val="Sansinterligne"/>
        <w:jc w:val="both"/>
        <w:rPr>
          <w:rFonts w:ascii="Arial" w:hAnsi="Arial" w:cs="Arial"/>
          <w:lang w:val="fr-FR"/>
        </w:rPr>
      </w:pPr>
    </w:p>
    <w:p w14:paraId="7FD3E8E9" w14:textId="77777777" w:rsidR="007021F3" w:rsidRDefault="007021F3" w:rsidP="00E865A6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Les caractéristiques du composant TSL25711</w:t>
      </w:r>
    </w:p>
    <w:p w14:paraId="7FD3E8EA" w14:textId="77777777" w:rsidR="007021F3" w:rsidRDefault="007021F3" w:rsidP="007021F3">
      <w:pPr>
        <w:pStyle w:val="Sansinterligne"/>
        <w:jc w:val="both"/>
        <w:rPr>
          <w:rFonts w:ascii="Arial" w:hAnsi="Arial" w:cs="Arial"/>
          <w:lang w:val="fr-FR"/>
        </w:rPr>
      </w:pPr>
    </w:p>
    <w:p w14:paraId="7FD3E8EB" w14:textId="77777777" w:rsidR="007021F3" w:rsidRPr="00904E11" w:rsidRDefault="007021F3" w:rsidP="007021F3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 w:rsidRPr="00904E11">
        <w:rPr>
          <w:rFonts w:ascii="Arial" w:hAnsi="Arial" w:cs="Arial"/>
          <w:b/>
          <w:i/>
          <w:lang w:val="fr-FR"/>
        </w:rPr>
        <w:t>Caractéristiques électriques</w:t>
      </w:r>
    </w:p>
    <w:p w14:paraId="7FD3E8EC" w14:textId="77777777" w:rsidR="007021F3" w:rsidRDefault="007021F3" w:rsidP="007021F3">
      <w:pPr>
        <w:pStyle w:val="Sansinterligne"/>
        <w:jc w:val="both"/>
        <w:rPr>
          <w:rFonts w:ascii="Arial" w:hAnsi="Arial" w:cs="Arial"/>
          <w:lang w:val="fr-FR"/>
        </w:rPr>
      </w:pPr>
    </w:p>
    <w:p w14:paraId="7FD3E8ED" w14:textId="77777777" w:rsidR="007021F3" w:rsidRDefault="007021F3" w:rsidP="00E865A6">
      <w:pPr>
        <w:pStyle w:val="Sansinterligne"/>
        <w:numPr>
          <w:ilvl w:val="1"/>
          <w:numId w:val="1"/>
        </w:numPr>
        <w:ind w:left="714" w:hanging="35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la référence de la broche d’alimentation du composant et préciser la plage de tensions avec lesquelles on peut alimenter le composant.</w:t>
      </w:r>
    </w:p>
    <w:p w14:paraId="7FD3E8EE" w14:textId="77777777" w:rsidR="007021F3" w:rsidRPr="00885465" w:rsidRDefault="007021F3" w:rsidP="007021F3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Broche d’alimentation V</w:t>
      </w:r>
      <w:r w:rsidRPr="00BC5148">
        <w:rPr>
          <w:rFonts w:ascii="Arial" w:hAnsi="Arial" w:cs="Arial"/>
          <w:b/>
          <w:color w:val="0000CC"/>
          <w:vertAlign w:val="subscript"/>
          <w:lang w:val="fr-FR"/>
        </w:rPr>
        <w:t>DD</w:t>
      </w:r>
      <w:r>
        <w:rPr>
          <w:rFonts w:ascii="Arial" w:hAnsi="Arial" w:cs="Arial"/>
          <w:b/>
          <w:color w:val="0000CC"/>
          <w:lang w:val="fr-FR"/>
        </w:rPr>
        <w:t xml:space="preserve">, avec </w:t>
      </w:r>
      <w:r w:rsidR="00BC5148">
        <w:rPr>
          <w:rFonts w:ascii="Arial" w:hAnsi="Arial" w:cs="Arial"/>
          <w:b/>
          <w:color w:val="0000CC"/>
          <w:lang w:val="fr-FR"/>
        </w:rPr>
        <w:t>2,6 V &lt; V</w:t>
      </w:r>
      <w:r w:rsidR="00BC5148" w:rsidRPr="00BC5148">
        <w:rPr>
          <w:rFonts w:ascii="Arial" w:hAnsi="Arial" w:cs="Arial"/>
          <w:b/>
          <w:color w:val="0000CC"/>
          <w:vertAlign w:val="subscript"/>
          <w:lang w:val="fr-FR"/>
        </w:rPr>
        <w:t>DD</w:t>
      </w:r>
      <w:r w:rsidR="00BC5148">
        <w:rPr>
          <w:rFonts w:ascii="Arial" w:hAnsi="Arial" w:cs="Arial"/>
          <w:b/>
          <w:color w:val="0000CC"/>
          <w:lang w:val="fr-FR"/>
        </w:rPr>
        <w:t xml:space="preserve"> &lt; 3,6 V.</w:t>
      </w:r>
    </w:p>
    <w:p w14:paraId="7FD3E8EF" w14:textId="77777777" w:rsidR="00B420A6" w:rsidRDefault="00B420A6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8F0" w14:textId="77777777" w:rsidR="00BC5148" w:rsidRDefault="00BC5148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8F1" w14:textId="77777777" w:rsidR="00F3787D" w:rsidRDefault="00F3787D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8F2" w14:textId="77777777" w:rsidR="00BC5148" w:rsidRPr="00904E11" w:rsidRDefault="00BC5148" w:rsidP="00BC5148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 w:rsidRPr="00904E11">
        <w:rPr>
          <w:rFonts w:ascii="Arial" w:hAnsi="Arial" w:cs="Arial"/>
          <w:b/>
          <w:i/>
          <w:lang w:val="fr-FR"/>
        </w:rPr>
        <w:t>Caractéristiques de</w:t>
      </w:r>
      <w:r>
        <w:rPr>
          <w:rFonts w:ascii="Arial" w:hAnsi="Arial" w:cs="Arial"/>
          <w:b/>
          <w:i/>
          <w:lang w:val="fr-FR"/>
        </w:rPr>
        <w:t xml:space="preserve"> l’</w:t>
      </w:r>
      <w:r w:rsidRPr="00904E11">
        <w:rPr>
          <w:rFonts w:ascii="Arial" w:hAnsi="Arial" w:cs="Arial"/>
          <w:b/>
          <w:i/>
          <w:lang w:val="fr-FR"/>
        </w:rPr>
        <w:t>interface de communication avec le microcontrôleur de commande</w:t>
      </w:r>
    </w:p>
    <w:p w14:paraId="7FD3E8F3" w14:textId="77777777" w:rsidR="00BC5148" w:rsidRDefault="00BC5148" w:rsidP="00BC5148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14:paraId="7FD3E8F4" w14:textId="77777777" w:rsidR="006E32E5" w:rsidRDefault="006E32E5" w:rsidP="00BC5148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Comme précisé sur le schéma structurel proposé page 2 de ce TD, la référence </w:t>
      </w:r>
      <w:proofErr w:type="spellStart"/>
      <w:r>
        <w:rPr>
          <w:rFonts w:ascii="Arial" w:hAnsi="Arial" w:cs="Arial"/>
          <w:lang w:val="fr-FR"/>
        </w:rPr>
        <w:t>exaxcte</w:t>
      </w:r>
      <w:proofErr w:type="spellEnd"/>
      <w:r>
        <w:rPr>
          <w:rFonts w:ascii="Arial" w:hAnsi="Arial" w:cs="Arial"/>
          <w:lang w:val="fr-FR"/>
        </w:rPr>
        <w:t xml:space="preserve"> du composant est TSL25711.</w:t>
      </w:r>
    </w:p>
    <w:p w14:paraId="7FD3E8F5" w14:textId="77777777" w:rsidR="006E32E5" w:rsidRPr="00406FCD" w:rsidRDefault="006E32E5" w:rsidP="00BC5148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14:paraId="7FD3E8F6" w14:textId="77777777" w:rsidR="00BC5148" w:rsidRDefault="006E32E5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Retrouver dans sa documentation constructeur,</w:t>
      </w:r>
      <w:r w:rsidR="0078744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l’adresse</w:t>
      </w:r>
      <w:r w:rsidR="00BC5148">
        <w:rPr>
          <w:rFonts w:ascii="Arial" w:hAnsi="Arial" w:cs="Arial"/>
          <w:lang w:val="fr-FR"/>
        </w:rPr>
        <w:t xml:space="preserve"> </w:t>
      </w:r>
      <w:r w:rsidR="00787441">
        <w:rPr>
          <w:rFonts w:ascii="Arial" w:hAnsi="Arial" w:cs="Arial"/>
          <w:lang w:val="fr-FR"/>
        </w:rPr>
        <w:t xml:space="preserve">I2C </w:t>
      </w:r>
      <w:r>
        <w:rPr>
          <w:rFonts w:ascii="Arial" w:hAnsi="Arial" w:cs="Arial"/>
          <w:lang w:val="fr-FR"/>
        </w:rPr>
        <w:t>de ce composant</w:t>
      </w:r>
      <w:r w:rsidR="00BC5148">
        <w:rPr>
          <w:rFonts w:ascii="Arial" w:hAnsi="Arial" w:cs="Arial"/>
          <w:lang w:val="fr-FR"/>
        </w:rPr>
        <w:t>.</w:t>
      </w:r>
    </w:p>
    <w:p w14:paraId="7FD3E8F7" w14:textId="77777777" w:rsidR="00BC5148" w:rsidRDefault="006E32E5" w:rsidP="00BC5148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L’adresse du composant I2C est donnée page 33 de la documentation : 0x39 (adresse que l’on retrouve sur le schéma structurel, mentionnée par le concepteur de la carte).</w:t>
      </w:r>
    </w:p>
    <w:p w14:paraId="7FD3E8F8" w14:textId="77777777" w:rsidR="006E32E5" w:rsidRDefault="006E32E5" w:rsidP="00BC5148">
      <w:pPr>
        <w:pStyle w:val="Sansinterligne"/>
        <w:jc w:val="both"/>
        <w:rPr>
          <w:rFonts w:ascii="Arial" w:hAnsi="Arial" w:cs="Arial"/>
          <w:lang w:val="fr-FR"/>
        </w:rPr>
      </w:pPr>
    </w:p>
    <w:p w14:paraId="7FD3E8F9" w14:textId="77777777" w:rsidR="00BC5148" w:rsidRPr="0077634E" w:rsidRDefault="006E32E5" w:rsidP="00E865A6">
      <w:pPr>
        <w:pStyle w:val="Sansinterligne"/>
        <w:numPr>
          <w:ilvl w:val="1"/>
          <w:numId w:val="1"/>
        </w:numPr>
        <w:ind w:left="714" w:hanging="357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 </w:t>
      </w:r>
      <w:r w:rsidR="00BC5148" w:rsidRPr="0077634E">
        <w:rPr>
          <w:rFonts w:ascii="Arial" w:hAnsi="Arial" w:cs="Arial"/>
          <w:lang w:val="fr-FR"/>
        </w:rPr>
        <w:t>la valeur maximale de la fréquence d’horloge</w:t>
      </w:r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</w:t>
      </w:r>
      <w:r w:rsidRPr="006E32E5">
        <w:rPr>
          <w:rFonts w:ascii="Arial" w:hAnsi="Arial" w:cs="Arial"/>
          <w:vertAlign w:val="subscript"/>
          <w:lang w:val="fr-FR"/>
        </w:rPr>
        <w:t>SCL</w:t>
      </w:r>
      <w:proofErr w:type="spellEnd"/>
      <w:r w:rsidR="00BC5148" w:rsidRPr="0077634E">
        <w:rPr>
          <w:rFonts w:ascii="Arial" w:hAnsi="Arial" w:cs="Arial"/>
          <w:lang w:val="fr-FR"/>
        </w:rPr>
        <w:t>.</w:t>
      </w:r>
    </w:p>
    <w:p w14:paraId="7FD3E8FA" w14:textId="77777777" w:rsidR="00BC5148" w:rsidRPr="003607FD" w:rsidRDefault="00BC5148" w:rsidP="00BC5148">
      <w:pPr>
        <w:spacing w:after="0" w:line="240" w:lineRule="auto"/>
        <w:jc w:val="both"/>
        <w:rPr>
          <w:rFonts w:ascii="Arial" w:hAnsi="Arial" w:cs="Arial"/>
          <w:b/>
          <w:lang w:val="fr-FR"/>
        </w:rPr>
      </w:pPr>
      <w:proofErr w:type="spellStart"/>
      <w:proofErr w:type="gramStart"/>
      <w:r w:rsidRPr="003607FD">
        <w:rPr>
          <w:rFonts w:ascii="Arial" w:hAnsi="Arial" w:cs="Arial"/>
          <w:b/>
          <w:color w:val="0000CC"/>
          <w:lang w:val="fr-FR"/>
        </w:rPr>
        <w:t>f</w:t>
      </w:r>
      <w:r w:rsidR="006E32E5">
        <w:rPr>
          <w:rFonts w:ascii="Arial" w:hAnsi="Arial" w:cs="Arial"/>
          <w:b/>
          <w:color w:val="0000CC"/>
          <w:vertAlign w:val="subscript"/>
          <w:lang w:val="fr-FR"/>
        </w:rPr>
        <w:t>SCL</w:t>
      </w:r>
      <w:r w:rsidRPr="003607FD">
        <w:rPr>
          <w:rFonts w:ascii="Arial" w:hAnsi="Arial" w:cs="Arial"/>
          <w:b/>
          <w:color w:val="0000CC"/>
          <w:vertAlign w:val="subscript"/>
          <w:lang w:val="fr-FR"/>
        </w:rPr>
        <w:t>max</w:t>
      </w:r>
      <w:proofErr w:type="spellEnd"/>
      <w:proofErr w:type="gramEnd"/>
      <w:r w:rsidR="006E32E5">
        <w:rPr>
          <w:rFonts w:ascii="Arial" w:hAnsi="Arial" w:cs="Arial"/>
          <w:b/>
          <w:color w:val="0000CC"/>
          <w:lang w:val="fr-FR"/>
        </w:rPr>
        <w:t xml:space="preserve"> = 400 kHz (Figure 10 page 8).</w:t>
      </w:r>
    </w:p>
    <w:p w14:paraId="7FD3E8FB" w14:textId="77777777" w:rsidR="00BC5148" w:rsidRDefault="00BC5148" w:rsidP="00BC5148">
      <w:pPr>
        <w:pStyle w:val="Sansinterligne"/>
        <w:jc w:val="both"/>
        <w:rPr>
          <w:rFonts w:ascii="Arial" w:hAnsi="Arial" w:cs="Arial"/>
          <w:lang w:val="fr-FR"/>
        </w:rPr>
      </w:pPr>
    </w:p>
    <w:p w14:paraId="7FD3E8FC" w14:textId="77777777" w:rsidR="00BC5148" w:rsidRDefault="00BC5148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8FD" w14:textId="77777777" w:rsidR="001074D9" w:rsidRDefault="001074D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8FE" w14:textId="77777777" w:rsidR="001074D9" w:rsidRDefault="001074D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8FF" w14:textId="77777777" w:rsidR="00C874FF" w:rsidRDefault="00C874FF" w:rsidP="00B420A6">
      <w:pPr>
        <w:pStyle w:val="Sansinterligne"/>
        <w:jc w:val="both"/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Principe de la mesure de l’éclairement lumineux en lux</w:t>
      </w:r>
    </w:p>
    <w:p w14:paraId="7FD3E900" w14:textId="77777777" w:rsidR="00C874FF" w:rsidRDefault="00C874FF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901" w14:textId="77777777" w:rsidR="00C874FF" w:rsidRDefault="00C874FF" w:rsidP="00B420A6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formules, établies de façon empirique, permettant de calculer l’éclairement lumineux, sont données page 14.</w:t>
      </w:r>
    </w:p>
    <w:p w14:paraId="7FD3E902" w14:textId="77777777" w:rsidR="00C874FF" w:rsidRDefault="00C874FF" w:rsidP="00B420A6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Ce dernier dépend de la grandeur CPL (</w:t>
      </w:r>
      <w:proofErr w:type="spellStart"/>
      <w:r>
        <w:rPr>
          <w:rFonts w:ascii="Arial" w:hAnsi="Arial" w:cs="Arial"/>
          <w:lang w:val="fr-FR"/>
        </w:rPr>
        <w:t>counts</w:t>
      </w:r>
      <w:proofErr w:type="spellEnd"/>
      <w:r>
        <w:rPr>
          <w:rFonts w:ascii="Arial" w:hAnsi="Arial" w:cs="Arial"/>
          <w:lang w:val="fr-FR"/>
        </w:rPr>
        <w:t xml:space="preserve"> per lux) calculée à partir de 3 paramètres :</w:t>
      </w:r>
    </w:p>
    <w:p w14:paraId="7FD3E903" w14:textId="77777777" w:rsidR="00C874FF" w:rsidRDefault="00C874FF" w:rsidP="00C874FF">
      <w:pPr>
        <w:pStyle w:val="Sansinterligne"/>
        <w:numPr>
          <w:ilvl w:val="0"/>
          <w:numId w:val="18"/>
        </w:numPr>
        <w:jc w:val="both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lang w:val="fr-FR"/>
        </w:rPr>
        <w:t>ATIME_ms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correpondant</w:t>
      </w:r>
      <w:proofErr w:type="spellEnd"/>
      <w:r>
        <w:rPr>
          <w:rFonts w:ascii="Arial" w:hAnsi="Arial" w:cs="Arial"/>
          <w:lang w:val="fr-FR"/>
        </w:rPr>
        <w:t xml:space="preserve"> à la durée d’intégration du convertisseur AN </w:t>
      </w:r>
      <w:r w:rsidR="00E510BF">
        <w:rPr>
          <w:rFonts w:ascii="Arial" w:hAnsi="Arial" w:cs="Arial"/>
          <w:lang w:val="fr-FR"/>
        </w:rPr>
        <w:t xml:space="preserve">exprimée </w:t>
      </w:r>
      <w:r>
        <w:rPr>
          <w:rFonts w:ascii="Arial" w:hAnsi="Arial" w:cs="Arial"/>
          <w:lang w:val="fr-FR"/>
        </w:rPr>
        <w:t>en ms</w:t>
      </w:r>
      <w:r w:rsidR="00E510BF">
        <w:rPr>
          <w:rFonts w:ascii="Arial" w:hAnsi="Arial" w:cs="Arial"/>
          <w:lang w:val="fr-FR"/>
        </w:rPr>
        <w:t xml:space="preserve"> et programmable par pas de 2,72 ms, entre 2,72 ms min et 174 ms (Figure 23, page 21) </w:t>
      </w:r>
      <w:r>
        <w:rPr>
          <w:rFonts w:ascii="Arial" w:hAnsi="Arial" w:cs="Arial"/>
          <w:lang w:val="fr-FR"/>
        </w:rPr>
        <w:t>;</w:t>
      </w:r>
    </w:p>
    <w:p w14:paraId="7FD3E904" w14:textId="77777777" w:rsidR="00C874FF" w:rsidRDefault="00C874FF" w:rsidP="00C874FF">
      <w:pPr>
        <w:pStyle w:val="Sansinterligne"/>
        <w:numPr>
          <w:ilvl w:val="0"/>
          <w:numId w:val="18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AGAIN, correspondant au gain avec lequel le dispositif traite la lumière ambiante</w:t>
      </w:r>
      <w:r w:rsidR="00E510BF">
        <w:rPr>
          <w:rFonts w:ascii="Arial" w:hAnsi="Arial" w:cs="Arial"/>
          <w:lang w:val="fr-FR"/>
        </w:rPr>
        <w:t>, et pouvant prendre les 4 valeurs 1, 8, 16 ou 120 (Figure 28, page 24)</w:t>
      </w:r>
      <w:r>
        <w:rPr>
          <w:rFonts w:ascii="Arial" w:hAnsi="Arial" w:cs="Arial"/>
          <w:lang w:val="fr-FR"/>
        </w:rPr>
        <w:t> ;</w:t>
      </w:r>
    </w:p>
    <w:p w14:paraId="7FD3E905" w14:textId="77777777" w:rsidR="00C874FF" w:rsidRDefault="00E510BF" w:rsidP="00C874FF">
      <w:pPr>
        <w:pStyle w:val="Sansinterligne"/>
        <w:numPr>
          <w:ilvl w:val="0"/>
          <w:numId w:val="18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GA</w:t>
      </w:r>
      <w:r w:rsidR="00C874FF">
        <w:rPr>
          <w:rFonts w:ascii="Arial" w:hAnsi="Arial" w:cs="Arial"/>
          <w:lang w:val="fr-FR"/>
        </w:rPr>
        <w:t>, correspondant à un coefficient d’atténuation optique</w:t>
      </w:r>
      <w:r>
        <w:rPr>
          <w:rFonts w:ascii="Arial" w:hAnsi="Arial" w:cs="Arial"/>
          <w:lang w:val="fr-FR"/>
        </w:rPr>
        <w:t>, égal à 1 si aucun phénomène ne vient altérer le rayonnement lumineux sur la lentille du composant, et supérieur à 1 dans le cas contraire (lentille sale ou rayée, par exemple)</w:t>
      </w:r>
      <w:r w:rsidR="00C874FF">
        <w:rPr>
          <w:rFonts w:ascii="Arial" w:hAnsi="Arial" w:cs="Arial"/>
          <w:lang w:val="fr-FR"/>
        </w:rPr>
        <w:t>.</w:t>
      </w:r>
    </w:p>
    <w:p w14:paraId="7FD3E906" w14:textId="77777777" w:rsidR="009B6DBA" w:rsidRDefault="00E510BF" w:rsidP="00E510BF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valeurs de ces 3 paramètres sont choisi</w:t>
      </w:r>
      <w:r w:rsidR="009B6DBA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par le programmeur</w:t>
      </w:r>
      <w:r w:rsidR="009B6DBA">
        <w:rPr>
          <w:rFonts w:ascii="Arial" w:hAnsi="Arial" w:cs="Arial"/>
          <w:lang w:val="fr-FR"/>
        </w:rPr>
        <w:t xml:space="preserve"> de façon empirique.</w:t>
      </w:r>
    </w:p>
    <w:p w14:paraId="7FD3E907" w14:textId="77777777" w:rsidR="009B6DBA" w:rsidRDefault="009B6DBA" w:rsidP="009B6DBA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Une fois ces grandeurs fixées, le programme calcule la valeur de l’éclairement en lux (page 14).</w:t>
      </w:r>
    </w:p>
    <w:p w14:paraId="7FD3E908" w14:textId="77777777" w:rsidR="00D20C93" w:rsidRDefault="00D20C93" w:rsidP="009B6DBA">
      <w:pPr>
        <w:pStyle w:val="Sansinterligne"/>
        <w:jc w:val="both"/>
        <w:rPr>
          <w:rFonts w:ascii="Arial" w:hAnsi="Arial" w:cs="Arial"/>
          <w:lang w:val="fr-FR"/>
        </w:rPr>
      </w:pPr>
    </w:p>
    <w:p w14:paraId="7FD3E909" w14:textId="77777777" w:rsidR="00D20C93" w:rsidRDefault="00D20C93" w:rsidP="009B6DBA">
      <w:pPr>
        <w:pStyle w:val="Sansinterligne"/>
        <w:jc w:val="both"/>
        <w:rPr>
          <w:rFonts w:ascii="Arial" w:hAnsi="Arial" w:cs="Arial"/>
          <w:lang w:val="fr-FR"/>
        </w:rPr>
      </w:pPr>
      <w:r w:rsidRPr="00D20C93">
        <w:rPr>
          <w:rFonts w:ascii="Arial" w:hAnsi="Arial" w:cs="Arial"/>
          <w:u w:val="single"/>
          <w:lang w:val="fr-FR"/>
        </w:rPr>
        <w:t>Attention</w:t>
      </w:r>
      <w:r>
        <w:rPr>
          <w:rFonts w:ascii="Arial" w:hAnsi="Arial" w:cs="Arial"/>
          <w:lang w:val="fr-FR"/>
        </w:rPr>
        <w:t> : il faut veiller à ce que le dispositif de mesure n’entre jamais en saturation.</w:t>
      </w:r>
    </w:p>
    <w:p w14:paraId="7FD3E90A" w14:textId="77777777" w:rsidR="00D20C93" w:rsidRPr="00C874FF" w:rsidRDefault="00D20C93" w:rsidP="009B6DBA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Pour cela, il faut que la valeur maximale de C0DATA et de C1DATA, qui dépend de la valeur de </w:t>
      </w:r>
      <w:proofErr w:type="spellStart"/>
      <w:r>
        <w:rPr>
          <w:rFonts w:ascii="Arial" w:hAnsi="Arial" w:cs="Arial"/>
          <w:lang w:val="fr-FR"/>
        </w:rPr>
        <w:t>ATIME_ms</w:t>
      </w:r>
      <w:proofErr w:type="spellEnd"/>
      <w:r>
        <w:rPr>
          <w:rFonts w:ascii="Arial" w:hAnsi="Arial" w:cs="Arial"/>
          <w:lang w:val="fr-FR"/>
        </w:rPr>
        <w:t xml:space="preserve">, ne dépasse pas la valeur </w:t>
      </w:r>
      <m:oMath>
        <m:r>
          <w:rPr>
            <w:rFonts w:ascii="Cambria Math" w:hAnsi="Cambria Math" w:cs="Arial"/>
            <w:lang w:val="fr-FR"/>
          </w:rPr>
          <m:t>1024.</m:t>
        </m:r>
        <m:f>
          <m:fPr>
            <m:ctrlPr>
              <w:rPr>
                <w:rFonts w:ascii="Cambria Math" w:hAnsi="Cambria Math" w:cs="Arial"/>
                <w:i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fr-FR"/>
              </w:rPr>
              <m:t>ATIME_ms</m:t>
            </m:r>
          </m:num>
          <m:den>
            <m:r>
              <w:rPr>
                <w:rFonts w:ascii="Cambria Math" w:hAnsi="Cambria Math" w:cs="Arial"/>
                <w:lang w:val="fr-FR"/>
              </w:rPr>
              <m:t>2,72</m:t>
            </m:r>
          </m:den>
        </m:f>
      </m:oMath>
      <w:r>
        <w:rPr>
          <w:rFonts w:ascii="Arial" w:eastAsiaTheme="minorEastAsia" w:hAnsi="Arial" w:cs="Arial"/>
          <w:lang w:val="fr-FR"/>
        </w:rPr>
        <w:t xml:space="preserve">. Si tel est le cas, il faut faire une nouvelle mesure en diminuant la valeur de </w:t>
      </w:r>
      <w:proofErr w:type="spellStart"/>
      <w:r>
        <w:rPr>
          <w:rFonts w:ascii="Arial" w:eastAsiaTheme="minorEastAsia" w:hAnsi="Arial" w:cs="Arial"/>
          <w:lang w:val="fr-FR"/>
        </w:rPr>
        <w:t>ATIME_ms</w:t>
      </w:r>
      <w:proofErr w:type="spellEnd"/>
      <w:r>
        <w:rPr>
          <w:rFonts w:ascii="Arial" w:eastAsiaTheme="minorEastAsia" w:hAnsi="Arial" w:cs="Arial"/>
          <w:lang w:val="fr-FR"/>
        </w:rPr>
        <w:t>.</w:t>
      </w:r>
    </w:p>
    <w:p w14:paraId="7FD3E90B" w14:textId="77777777" w:rsidR="00F270F9" w:rsidRDefault="00F270F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90C" w14:textId="77777777" w:rsidR="005E538D" w:rsidRDefault="005E538D" w:rsidP="00B420A6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Exemple : On se fixe </w:t>
      </w:r>
      <w:proofErr w:type="spellStart"/>
      <w:r>
        <w:rPr>
          <w:rFonts w:ascii="Arial" w:hAnsi="Arial" w:cs="Arial"/>
          <w:lang w:val="fr-FR"/>
        </w:rPr>
        <w:t>ATIME_ms</w:t>
      </w:r>
      <w:proofErr w:type="spellEnd"/>
      <w:r>
        <w:rPr>
          <w:rFonts w:ascii="Arial" w:hAnsi="Arial" w:cs="Arial"/>
          <w:lang w:val="fr-FR"/>
        </w:rPr>
        <w:t xml:space="preserve"> = 32,64 ms</w:t>
      </w:r>
      <w:r w:rsidR="00F270F9">
        <w:rPr>
          <w:rFonts w:ascii="Arial" w:hAnsi="Arial" w:cs="Arial"/>
          <w:lang w:val="fr-FR"/>
        </w:rPr>
        <w:t>, AGAIN</w:t>
      </w:r>
      <w:r w:rsidR="004321EF">
        <w:rPr>
          <w:rFonts w:ascii="Arial" w:hAnsi="Arial" w:cs="Arial"/>
          <w:lang w:val="fr-FR"/>
        </w:rPr>
        <w:t xml:space="preserve"> = 1</w:t>
      </w:r>
      <w:r w:rsidR="00F270F9">
        <w:rPr>
          <w:rFonts w:ascii="Arial" w:hAnsi="Arial" w:cs="Arial"/>
          <w:lang w:val="fr-FR"/>
        </w:rPr>
        <w:t xml:space="preserve"> et GA = 1.</w:t>
      </w:r>
    </w:p>
    <w:p w14:paraId="7FD3E90D" w14:textId="77777777" w:rsidR="00F270F9" w:rsidRDefault="00F270F9" w:rsidP="00B420A6">
      <w:pPr>
        <w:pStyle w:val="Sansinterligne"/>
        <w:jc w:val="both"/>
        <w:rPr>
          <w:rFonts w:ascii="Arial" w:hAnsi="Arial" w:cs="Arial"/>
          <w:lang w:val="fr-FR"/>
        </w:rPr>
      </w:pPr>
    </w:p>
    <w:p w14:paraId="7FD3E90E" w14:textId="77777777" w:rsidR="00F270F9" w:rsidRDefault="00F270F9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 w:rsidRPr="00F270F9">
        <w:rPr>
          <w:rFonts w:ascii="Arial" w:hAnsi="Arial" w:cs="Arial"/>
          <w:lang w:val="fr-FR"/>
        </w:rPr>
        <w:t>C</w:t>
      </w:r>
      <w:r>
        <w:rPr>
          <w:rFonts w:ascii="Arial" w:hAnsi="Arial" w:cs="Arial"/>
          <w:lang w:val="fr-FR"/>
        </w:rPr>
        <w:t xml:space="preserve">alculer la </w:t>
      </w:r>
      <w:r w:rsidRPr="00F270F9">
        <w:rPr>
          <w:rFonts w:ascii="Arial" w:hAnsi="Arial" w:cs="Arial"/>
          <w:lang w:val="fr-FR"/>
        </w:rPr>
        <w:t xml:space="preserve">valeur de CPL et en déduire la valeur de l’éclairement lumineux si les valeurs de C0DATA et C1DATA sont égales respectivement à </w:t>
      </w:r>
      <w:r w:rsidR="00BF2ED1">
        <w:rPr>
          <w:rFonts w:ascii="Arial" w:hAnsi="Arial" w:cs="Arial"/>
          <w:lang w:val="fr-FR"/>
        </w:rPr>
        <w:t>8058 et 4</w:t>
      </w:r>
      <w:r>
        <w:rPr>
          <w:rFonts w:ascii="Arial" w:hAnsi="Arial" w:cs="Arial"/>
          <w:lang w:val="fr-FR"/>
        </w:rPr>
        <w:t>52</w:t>
      </w:r>
      <w:r w:rsidRPr="00F270F9">
        <w:rPr>
          <w:rFonts w:ascii="Arial" w:hAnsi="Arial" w:cs="Arial"/>
          <w:lang w:val="fr-FR"/>
        </w:rPr>
        <w:t>.</w:t>
      </w:r>
    </w:p>
    <w:p w14:paraId="7FD3E90F" w14:textId="77777777" w:rsidR="00DB666F" w:rsidRPr="007B65B4" w:rsidRDefault="00F270F9" w:rsidP="00B420A6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DB666F">
        <w:rPr>
          <w:rFonts w:ascii="Arial" w:hAnsi="Arial" w:cs="Arial"/>
          <w:b/>
          <w:color w:val="0000CC"/>
          <w:lang w:val="fr-FR"/>
        </w:rPr>
        <w:t xml:space="preserve">CPL = </w:t>
      </w:r>
      <w:r w:rsidR="004321EF">
        <w:rPr>
          <w:rFonts w:ascii="Arial" w:hAnsi="Arial" w:cs="Arial"/>
          <w:b/>
          <w:color w:val="0000CC"/>
          <w:lang w:val="fr-FR"/>
        </w:rPr>
        <w:t>32,64</w:t>
      </w:r>
      <w:r w:rsidRPr="00DB666F">
        <w:rPr>
          <w:rFonts w:ascii="Arial" w:hAnsi="Arial" w:cs="Arial"/>
          <w:b/>
          <w:color w:val="0000CC"/>
          <w:lang w:val="fr-FR"/>
        </w:rPr>
        <w:t xml:space="preserve">/53. D’où Lux1 = </w:t>
      </w:r>
      <w:r w:rsidR="00BF2ED1">
        <w:rPr>
          <w:rFonts w:ascii="Arial" w:hAnsi="Arial" w:cs="Arial"/>
          <w:b/>
          <w:color w:val="0000CC"/>
          <w:lang w:val="fr-FR"/>
        </w:rPr>
        <w:t>11616</w:t>
      </w:r>
      <w:r w:rsidR="00DB666F" w:rsidRPr="00DB666F">
        <w:rPr>
          <w:rFonts w:ascii="Arial" w:hAnsi="Arial" w:cs="Arial"/>
          <w:b/>
          <w:color w:val="0000CC"/>
          <w:lang w:val="fr-FR"/>
        </w:rPr>
        <w:t xml:space="preserve"> lux et Lux2 = </w:t>
      </w:r>
      <w:r w:rsidR="00D20C93">
        <w:rPr>
          <w:rFonts w:ascii="Arial" w:hAnsi="Arial" w:cs="Arial"/>
          <w:b/>
          <w:color w:val="0000CC"/>
          <w:lang w:val="fr-FR"/>
        </w:rPr>
        <w:t>7117</w:t>
      </w:r>
      <w:r w:rsidR="00DB666F" w:rsidRPr="00DB666F">
        <w:rPr>
          <w:rFonts w:ascii="Arial" w:hAnsi="Arial" w:cs="Arial"/>
          <w:b/>
          <w:color w:val="0000CC"/>
          <w:lang w:val="fr-FR"/>
        </w:rPr>
        <w:t xml:space="preserve"> lux, d’où E</w:t>
      </w:r>
      <w:r w:rsidR="00D20C93">
        <w:rPr>
          <w:rFonts w:ascii="Arial" w:hAnsi="Arial" w:cs="Arial"/>
          <w:b/>
          <w:color w:val="0000CC"/>
          <w:lang w:val="fr-FR"/>
        </w:rPr>
        <w:t xml:space="preserve"> = 11616</w:t>
      </w:r>
      <w:r w:rsidR="00DB666F" w:rsidRPr="00DB666F">
        <w:rPr>
          <w:rFonts w:ascii="Arial" w:hAnsi="Arial" w:cs="Arial"/>
          <w:b/>
          <w:color w:val="0000CC"/>
          <w:lang w:val="fr-FR"/>
        </w:rPr>
        <w:t xml:space="preserve"> lux.</w:t>
      </w:r>
    </w:p>
    <w:p w14:paraId="7FD3E910" w14:textId="77777777" w:rsidR="00DB666F" w:rsidRDefault="007D02F5" w:rsidP="00E865A6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La programmation du composant TSL2571</w:t>
      </w:r>
    </w:p>
    <w:p w14:paraId="7FD3E911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</w:p>
    <w:p w14:paraId="7FD3E912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composant comporte 17 registres internes (Figure 20, page 18).</w:t>
      </w:r>
    </w:p>
    <w:p w14:paraId="7FD3E913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</w:p>
    <w:p w14:paraId="7FD3E914" w14:textId="77777777" w:rsidR="007D02F5" w:rsidRDefault="007D02F5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Indiquer le format de chacun de ces 17 registres.</w:t>
      </w:r>
    </w:p>
    <w:p w14:paraId="7FD3E915" w14:textId="77777777" w:rsidR="00D20C93" w:rsidRPr="0070216F" w:rsidRDefault="00D20C93" w:rsidP="00D20C93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 w:rsidRPr="0070216F">
        <w:rPr>
          <w:rFonts w:ascii="Arial" w:hAnsi="Arial" w:cs="Arial"/>
          <w:b/>
          <w:color w:val="0000CC"/>
          <w:lang w:val="fr-FR"/>
        </w:rPr>
        <w:t>Chaque registre a un format de 8 bits.</w:t>
      </w:r>
    </w:p>
    <w:p w14:paraId="7FD3E916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</w:p>
    <w:p w14:paraId="7FD3E917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On reprend les valeurs de </w:t>
      </w:r>
      <w:proofErr w:type="spellStart"/>
      <w:r>
        <w:rPr>
          <w:rFonts w:ascii="Arial" w:hAnsi="Arial" w:cs="Arial"/>
          <w:lang w:val="fr-FR"/>
        </w:rPr>
        <w:t>ATIME_ms</w:t>
      </w:r>
      <w:proofErr w:type="spellEnd"/>
      <w:r>
        <w:rPr>
          <w:rFonts w:ascii="Arial" w:hAnsi="Arial" w:cs="Arial"/>
          <w:lang w:val="fr-FR"/>
        </w:rPr>
        <w:t>, AGAIN et GA envisagées à la question précédente, et on souhaite que le composant élabore une requête d’interruption lorsque l’éclairement lumineux dépasse plus de 10 fois consécutivement la valeur seuil de 7000 lux.</w:t>
      </w:r>
    </w:p>
    <w:p w14:paraId="7FD3E918" w14:textId="77777777" w:rsidR="007D02F5" w:rsidRDefault="007D02F5" w:rsidP="007D02F5">
      <w:pPr>
        <w:pStyle w:val="Sansinterligne"/>
        <w:jc w:val="both"/>
        <w:rPr>
          <w:rFonts w:ascii="Arial" w:hAnsi="Arial" w:cs="Arial"/>
          <w:lang w:val="fr-FR"/>
        </w:rPr>
      </w:pPr>
    </w:p>
    <w:p w14:paraId="7FD3E919" w14:textId="77777777" w:rsidR="007D02F5" w:rsidRDefault="00CB1DE0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Préciser le</w:t>
      </w:r>
      <w:r w:rsidR="007D02F5" w:rsidRPr="00CB1DE0">
        <w:rPr>
          <w:rFonts w:ascii="Arial" w:hAnsi="Arial" w:cs="Arial"/>
          <w:lang w:val="fr-FR"/>
        </w:rPr>
        <w:t xml:space="preserve"> contenu des registres à initialiser</w:t>
      </w:r>
      <w:r>
        <w:rPr>
          <w:rFonts w:ascii="Arial" w:hAnsi="Arial" w:cs="Arial"/>
          <w:lang w:val="fr-FR"/>
        </w:rPr>
        <w:t xml:space="preserve"> durant la procédure d’initialisation</w:t>
      </w:r>
      <w:r w:rsidR="007D02F5" w:rsidRPr="00CB1DE0"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>init(</w:t>
      </w:r>
      <w:proofErr w:type="gramEnd"/>
      <w:r>
        <w:rPr>
          <w:rFonts w:ascii="Arial" w:hAnsi="Arial" w:cs="Arial"/>
          <w:lang w:val="fr-FR"/>
        </w:rPr>
        <w:t xml:space="preserve">) du composant, </w:t>
      </w:r>
      <w:r w:rsidR="007D02F5" w:rsidRPr="00CB1DE0">
        <w:rPr>
          <w:rFonts w:ascii="Arial" w:hAnsi="Arial" w:cs="Arial"/>
          <w:lang w:val="fr-FR"/>
        </w:rPr>
        <w:t>afin d</w:t>
      </w:r>
      <w:r>
        <w:rPr>
          <w:rFonts w:ascii="Arial" w:hAnsi="Arial" w:cs="Arial"/>
          <w:lang w:val="fr-FR"/>
        </w:rPr>
        <w:t>e faire fonctionner ce dernier</w:t>
      </w:r>
      <w:r w:rsidR="007D02F5" w:rsidRPr="00CB1DE0">
        <w:rPr>
          <w:rFonts w:ascii="Arial" w:hAnsi="Arial" w:cs="Arial"/>
          <w:lang w:val="fr-FR"/>
        </w:rPr>
        <w:t xml:space="preserve"> conformément au cahier des charges.</w:t>
      </w:r>
    </w:p>
    <w:p w14:paraId="7FD3E91A" w14:textId="77777777" w:rsidR="00CB1DE0" w:rsidRDefault="00CB1DE0" w:rsidP="00CB1DE0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On initialise les registres comme suit :</w:t>
      </w:r>
    </w:p>
    <w:p w14:paraId="7FD3E91B" w14:textId="77777777" w:rsidR="00CB1DE0" w:rsidRDefault="00CB1DE0" w:rsidP="00CB1DE0">
      <w:pPr>
        <w:pStyle w:val="Sansinterligne"/>
        <w:numPr>
          <w:ilvl w:val="0"/>
          <w:numId w:val="22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Enable </w:t>
      </w:r>
      <w:proofErr w:type="spellStart"/>
      <w:r>
        <w:rPr>
          <w:rFonts w:ascii="Arial" w:hAnsi="Arial" w:cs="Arial"/>
          <w:b/>
          <w:color w:val="0000CC"/>
          <w:lang w:val="fr-FR"/>
        </w:rPr>
        <w:t>Register</w:t>
      </w:r>
      <w:proofErr w:type="spellEnd"/>
      <w:r>
        <w:rPr>
          <w:rFonts w:ascii="Arial" w:hAnsi="Arial" w:cs="Arial"/>
          <w:b/>
          <w:color w:val="0000CC"/>
          <w:lang w:val="fr-FR"/>
        </w:rPr>
        <w:t> = 00011011 = 0x1B ;</w:t>
      </w:r>
    </w:p>
    <w:p w14:paraId="7FD3E91C" w14:textId="77777777" w:rsidR="00CB1DE0" w:rsidRDefault="00CB1DE0" w:rsidP="00CB1DE0">
      <w:pPr>
        <w:pStyle w:val="Sansinterligne"/>
        <w:numPr>
          <w:ilvl w:val="0"/>
          <w:numId w:val="22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ALS Timing </w:t>
      </w:r>
      <w:proofErr w:type="spellStart"/>
      <w:r>
        <w:rPr>
          <w:rFonts w:ascii="Arial" w:hAnsi="Arial" w:cs="Arial"/>
          <w:b/>
          <w:color w:val="0000CC"/>
          <w:lang w:val="fr-FR"/>
        </w:rPr>
        <w:t>Register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= 0xF4 ;</w:t>
      </w:r>
    </w:p>
    <w:p w14:paraId="7FD3E91D" w14:textId="77777777" w:rsidR="00CB1DE0" w:rsidRDefault="00CB1DE0" w:rsidP="00CB1DE0">
      <w:pPr>
        <w:pStyle w:val="Sansinterligne"/>
        <w:numPr>
          <w:ilvl w:val="0"/>
          <w:numId w:val="22"/>
        </w:numPr>
        <w:jc w:val="both"/>
        <w:rPr>
          <w:rFonts w:ascii="Arial" w:hAnsi="Arial" w:cs="Arial"/>
          <w:b/>
          <w:color w:val="0000CC"/>
          <w:lang w:val="fr-FR"/>
        </w:rPr>
      </w:pPr>
      <w:proofErr w:type="spellStart"/>
      <w:r>
        <w:rPr>
          <w:rFonts w:ascii="Arial" w:hAnsi="Arial" w:cs="Arial"/>
          <w:b/>
          <w:color w:val="0000CC"/>
          <w:lang w:val="fr-FR"/>
        </w:rPr>
        <w:t>Wait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Time </w:t>
      </w:r>
      <w:proofErr w:type="spellStart"/>
      <w:r>
        <w:rPr>
          <w:rFonts w:ascii="Arial" w:hAnsi="Arial" w:cs="Arial"/>
          <w:b/>
          <w:color w:val="0000CC"/>
          <w:lang w:val="fr-FR"/>
        </w:rPr>
        <w:t>Register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= 0xFF ;</w:t>
      </w:r>
    </w:p>
    <w:p w14:paraId="7FD3E91E" w14:textId="77777777" w:rsidR="00CB1DE0" w:rsidRDefault="004321EF" w:rsidP="00CB1DE0">
      <w:pPr>
        <w:pStyle w:val="Sansinterligne"/>
        <w:numPr>
          <w:ilvl w:val="0"/>
          <w:numId w:val="22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AIHTL </w:t>
      </w:r>
      <w:proofErr w:type="spellStart"/>
      <w:r>
        <w:rPr>
          <w:rFonts w:ascii="Arial" w:hAnsi="Arial" w:cs="Arial"/>
          <w:b/>
          <w:color w:val="0000CC"/>
          <w:lang w:val="fr-FR"/>
        </w:rPr>
        <w:t>Register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= 0x58 ;</w:t>
      </w:r>
    </w:p>
    <w:p w14:paraId="7FD3E91F" w14:textId="77777777" w:rsidR="004321EF" w:rsidRDefault="004321EF" w:rsidP="00CB1DE0">
      <w:pPr>
        <w:pStyle w:val="Sansinterligne"/>
        <w:numPr>
          <w:ilvl w:val="0"/>
          <w:numId w:val="22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AIHTH </w:t>
      </w:r>
      <w:proofErr w:type="spellStart"/>
      <w:r>
        <w:rPr>
          <w:rFonts w:ascii="Arial" w:hAnsi="Arial" w:cs="Arial"/>
          <w:b/>
          <w:color w:val="0000CC"/>
          <w:lang w:val="fr-FR"/>
        </w:rPr>
        <w:t>Register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= 0x1B ;</w:t>
      </w:r>
    </w:p>
    <w:p w14:paraId="7FD3E920" w14:textId="77777777" w:rsidR="004321EF" w:rsidRDefault="004321EF" w:rsidP="00CB1DE0">
      <w:pPr>
        <w:pStyle w:val="Sansinterligne"/>
        <w:numPr>
          <w:ilvl w:val="0"/>
          <w:numId w:val="22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APERS </w:t>
      </w:r>
      <w:proofErr w:type="spellStart"/>
      <w:r>
        <w:rPr>
          <w:rFonts w:ascii="Arial" w:hAnsi="Arial" w:cs="Arial"/>
          <w:b/>
          <w:color w:val="0000CC"/>
          <w:lang w:val="fr-FR"/>
        </w:rPr>
        <w:t>Register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= 00000101 = 0x05 ;</w:t>
      </w:r>
    </w:p>
    <w:p w14:paraId="7FD3E921" w14:textId="77777777" w:rsidR="004321EF" w:rsidRDefault="004321EF" w:rsidP="00CB1DE0">
      <w:pPr>
        <w:pStyle w:val="Sansinterligne"/>
        <w:numPr>
          <w:ilvl w:val="0"/>
          <w:numId w:val="22"/>
        </w:numPr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 xml:space="preserve">Control </w:t>
      </w:r>
      <w:proofErr w:type="spellStart"/>
      <w:r>
        <w:rPr>
          <w:rFonts w:ascii="Arial" w:hAnsi="Arial" w:cs="Arial"/>
          <w:b/>
          <w:color w:val="0000CC"/>
          <w:lang w:val="fr-FR"/>
        </w:rPr>
        <w:t>Register</w:t>
      </w:r>
      <w:proofErr w:type="spellEnd"/>
      <w:r>
        <w:rPr>
          <w:rFonts w:ascii="Arial" w:hAnsi="Arial" w:cs="Arial"/>
          <w:b/>
          <w:color w:val="0000CC"/>
          <w:lang w:val="fr-FR"/>
        </w:rPr>
        <w:t xml:space="preserve"> = </w:t>
      </w:r>
      <w:r w:rsidR="0070216F">
        <w:rPr>
          <w:rFonts w:ascii="Arial" w:hAnsi="Arial" w:cs="Arial"/>
          <w:b/>
          <w:color w:val="0000CC"/>
          <w:lang w:val="fr-FR"/>
        </w:rPr>
        <w:t>00000000 = 0x00.</w:t>
      </w:r>
    </w:p>
    <w:p w14:paraId="7FD3E922" w14:textId="77777777" w:rsidR="0070216F" w:rsidRDefault="0070216F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7FD3E923" w14:textId="77777777" w:rsidR="0070216F" w:rsidRDefault="0070216F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7FD3E924" w14:textId="77777777" w:rsidR="0070216F" w:rsidRDefault="0070216F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7FD3E925" w14:textId="77777777" w:rsidR="00697CC2" w:rsidRDefault="00697CC2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7FD3E926" w14:textId="77777777" w:rsidR="0070216F" w:rsidRDefault="0070216F" w:rsidP="0070216F">
      <w:pPr>
        <w:pStyle w:val="Sansinterligne"/>
        <w:jc w:val="both"/>
        <w:rPr>
          <w:rFonts w:ascii="Arial" w:hAnsi="Arial" w:cs="Arial"/>
          <w:lang w:val="fr-FR"/>
        </w:rPr>
      </w:pPr>
    </w:p>
    <w:p w14:paraId="7FD3E927" w14:textId="77777777" w:rsidR="00636079" w:rsidRDefault="00636079" w:rsidP="007D7ADF">
      <w:pPr>
        <w:pStyle w:val="Sansinterligne"/>
        <w:numPr>
          <w:ilvl w:val="0"/>
          <w:numId w:val="1"/>
        </w:numPr>
        <w:ind w:right="-144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Le câblage du composant TSL2571 sur la carte End </w:t>
      </w:r>
      <w:proofErr w:type="spellStart"/>
      <w:r>
        <w:rPr>
          <w:rFonts w:ascii="Arial" w:hAnsi="Arial" w:cs="Arial"/>
          <w:b/>
          <w:lang w:val="fr-FR"/>
        </w:rPr>
        <w:t>Device</w:t>
      </w:r>
      <w:proofErr w:type="spellEnd"/>
      <w:r>
        <w:rPr>
          <w:rFonts w:ascii="Arial" w:hAnsi="Arial" w:cs="Arial"/>
          <w:b/>
          <w:lang w:val="fr-FR"/>
        </w:rPr>
        <w:t xml:space="preserve"> (schéma page 2 sur </w:t>
      </w:r>
      <w:r w:rsidR="00ED4412">
        <w:rPr>
          <w:rFonts w:ascii="Arial" w:hAnsi="Arial" w:cs="Arial"/>
          <w:b/>
          <w:lang w:val="fr-FR"/>
        </w:rPr>
        <w:t>4</w:t>
      </w:r>
      <w:r>
        <w:rPr>
          <w:rFonts w:ascii="Arial" w:hAnsi="Arial" w:cs="Arial"/>
          <w:b/>
          <w:lang w:val="fr-FR"/>
        </w:rPr>
        <w:t>)</w:t>
      </w:r>
    </w:p>
    <w:p w14:paraId="7FD3E928" w14:textId="77777777" w:rsidR="00636079" w:rsidRDefault="00636079" w:rsidP="00636079">
      <w:pPr>
        <w:pStyle w:val="Sansinterligne"/>
        <w:jc w:val="both"/>
        <w:rPr>
          <w:rFonts w:ascii="Arial" w:hAnsi="Arial" w:cs="Arial"/>
          <w:lang w:val="fr-FR"/>
        </w:rPr>
      </w:pPr>
    </w:p>
    <w:p w14:paraId="7FD3E929" w14:textId="77777777" w:rsidR="00636079" w:rsidRPr="00CE2100" w:rsidRDefault="00636079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Vérifier que le composant TSL2571 est correctement alimenté.</w:t>
      </w:r>
    </w:p>
    <w:p w14:paraId="7FD3E92A" w14:textId="77777777" w:rsidR="00636079" w:rsidRDefault="00636079" w:rsidP="006360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La tension d’alimentation du composant est ici de 3,3 V, donc en accord avec la réponse à la question 4.1.</w:t>
      </w:r>
    </w:p>
    <w:p w14:paraId="7FD3E92B" w14:textId="77777777" w:rsidR="00636079" w:rsidRPr="008916D8" w:rsidRDefault="00636079" w:rsidP="006360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</w:p>
    <w:p w14:paraId="7FD3E92C" w14:textId="77777777" w:rsidR="00636079" w:rsidRDefault="00636079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l’information « </w:t>
      </w:r>
      <w:proofErr w:type="spellStart"/>
      <w:r>
        <w:rPr>
          <w:rFonts w:ascii="Arial" w:hAnsi="Arial" w:cs="Arial"/>
          <w:lang w:val="fr-FR"/>
        </w:rPr>
        <w:t>Adr</w:t>
      </w:r>
      <w:proofErr w:type="spellEnd"/>
      <w:r>
        <w:rPr>
          <w:rFonts w:ascii="Arial" w:hAnsi="Arial" w:cs="Arial"/>
          <w:lang w:val="fr-FR"/>
        </w:rPr>
        <w:t xml:space="preserve"> I2C $1E » mentionnée sur le schéma structurel.</w:t>
      </w:r>
    </w:p>
    <w:p w14:paraId="7FD3E92D" w14:textId="77777777" w:rsidR="00636079" w:rsidRPr="005B3DE5" w:rsidRDefault="00636079" w:rsidP="006360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Cette information indique l’adresse du composant (</w:t>
      </w:r>
      <w:r w:rsidR="00D756A6">
        <w:rPr>
          <w:rFonts w:ascii="Arial" w:hAnsi="Arial" w:cs="Arial"/>
          <w:b/>
          <w:color w:val="0000CC"/>
          <w:lang w:val="fr-FR"/>
        </w:rPr>
        <w:t>il s’agit bien de l’adresse 0x39 comme précisé en réponse à la question 4.2)</w:t>
      </w:r>
      <w:r>
        <w:rPr>
          <w:rFonts w:ascii="Arial" w:hAnsi="Arial" w:cs="Arial"/>
          <w:b/>
          <w:color w:val="0000CC"/>
          <w:lang w:val="fr-FR"/>
        </w:rPr>
        <w:t>.</w:t>
      </w:r>
    </w:p>
    <w:p w14:paraId="7FD3E92E" w14:textId="77777777" w:rsidR="00636079" w:rsidRDefault="00636079" w:rsidP="00636079">
      <w:pPr>
        <w:pStyle w:val="Sansinterligne"/>
        <w:jc w:val="both"/>
        <w:rPr>
          <w:rFonts w:ascii="Arial" w:hAnsi="Arial" w:cs="Arial"/>
          <w:lang w:val="fr-FR"/>
        </w:rPr>
      </w:pPr>
    </w:p>
    <w:p w14:paraId="7FD3E92F" w14:textId="77777777" w:rsidR="00636079" w:rsidRDefault="00636079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Justifier la présence et le rôle des résistance</w:t>
      </w:r>
      <w:r w:rsidR="00D756A6">
        <w:rPr>
          <w:rFonts w:ascii="Arial" w:hAnsi="Arial" w:cs="Arial"/>
          <w:lang w:val="fr-FR"/>
        </w:rPr>
        <w:t>s R22 et R23</w:t>
      </w:r>
      <w:r>
        <w:rPr>
          <w:rFonts w:ascii="Arial" w:hAnsi="Arial" w:cs="Arial"/>
          <w:lang w:val="fr-FR"/>
        </w:rPr>
        <w:t>.</w:t>
      </w:r>
    </w:p>
    <w:p w14:paraId="7FD3E930" w14:textId="77777777" w:rsidR="00636079" w:rsidRPr="005B3DE5" w:rsidRDefault="00D756A6" w:rsidP="006360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Les résistances R22 et R23</w:t>
      </w:r>
      <w:r w:rsidR="00636079">
        <w:rPr>
          <w:rFonts w:ascii="Arial" w:hAnsi="Arial" w:cs="Arial"/>
          <w:b/>
          <w:color w:val="0000CC"/>
          <w:lang w:val="fr-FR"/>
        </w:rPr>
        <w:t xml:space="preserve"> sont des résistances de Pull-Up (ou résistances de tirage au niveau haut, en français) dont le rôle consiste à forcer les lignes SDA et SCL au niveau haut en l’absence de communication.</w:t>
      </w:r>
    </w:p>
    <w:p w14:paraId="7FD3E931" w14:textId="77777777" w:rsidR="00636079" w:rsidRDefault="00636079" w:rsidP="00636079">
      <w:pPr>
        <w:pStyle w:val="Sansinterligne"/>
        <w:jc w:val="both"/>
        <w:rPr>
          <w:rFonts w:ascii="Arial" w:hAnsi="Arial" w:cs="Arial"/>
          <w:lang w:val="fr-FR"/>
        </w:rPr>
      </w:pPr>
    </w:p>
    <w:p w14:paraId="7FD3E932" w14:textId="77777777" w:rsidR="00636079" w:rsidRDefault="00636079" w:rsidP="00E865A6">
      <w:pPr>
        <w:pStyle w:val="Sansinterligne"/>
        <w:numPr>
          <w:ilvl w:val="1"/>
          <w:numId w:val="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Indiquer, en considérant </w:t>
      </w:r>
      <w:r w:rsidR="00ED4412">
        <w:rPr>
          <w:rFonts w:ascii="Arial" w:hAnsi="Arial" w:cs="Arial"/>
          <w:lang w:val="fr-FR"/>
        </w:rPr>
        <w:t>la présence de la résistance R38</w:t>
      </w:r>
      <w:r>
        <w:rPr>
          <w:rFonts w:ascii="Arial" w:hAnsi="Arial" w:cs="Arial"/>
          <w:lang w:val="fr-FR"/>
        </w:rPr>
        <w:t>, à quel type de front (montant ou descendant) l’entrée d’interruption du µC GPIO33 (IRQ_I</w:t>
      </w:r>
      <w:r w:rsidR="00D756A6">
        <w:rPr>
          <w:rFonts w:ascii="Arial" w:hAnsi="Arial" w:cs="Arial"/>
          <w:lang w:val="fr-FR"/>
        </w:rPr>
        <w:t>2C) devra être sensible. Préciser alors si ce type de front est compatible avec les caractéristiques du composant TSL2571.</w:t>
      </w:r>
    </w:p>
    <w:p w14:paraId="7FD3E933" w14:textId="77777777" w:rsidR="00636079" w:rsidRDefault="00D756A6" w:rsidP="00636079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Si le cavalier J44</w:t>
      </w:r>
      <w:r w:rsidR="00636079">
        <w:rPr>
          <w:rFonts w:ascii="Arial" w:hAnsi="Arial" w:cs="Arial"/>
          <w:b/>
          <w:color w:val="0000CC"/>
          <w:lang w:val="fr-FR"/>
        </w:rPr>
        <w:t xml:space="preserve"> est ouvert, la broche d’entrée d’interruption GPIO33 e</w:t>
      </w:r>
      <w:r>
        <w:rPr>
          <w:rFonts w:ascii="Arial" w:hAnsi="Arial" w:cs="Arial"/>
          <w:b/>
          <w:color w:val="0000CC"/>
          <w:lang w:val="fr-FR"/>
        </w:rPr>
        <w:t>st forcée au niveau haut par R38</w:t>
      </w:r>
      <w:r w:rsidR="00636079">
        <w:rPr>
          <w:rFonts w:ascii="Arial" w:hAnsi="Arial" w:cs="Arial"/>
          <w:b/>
          <w:color w:val="0000CC"/>
          <w:lang w:val="fr-FR"/>
        </w:rPr>
        <w:t>, ce qui signifie qu’on ne pourra signifier au µC la présence d’une requête d’interruption, qu’en lui transmettant un front descendant.</w:t>
      </w:r>
    </w:p>
    <w:p w14:paraId="7FD3E934" w14:textId="77777777" w:rsidR="007646DB" w:rsidRPr="00697CC2" w:rsidRDefault="00636079" w:rsidP="007646DB">
      <w:pPr>
        <w:pStyle w:val="Sansinterligne"/>
        <w:jc w:val="both"/>
        <w:rPr>
          <w:rFonts w:ascii="Arial" w:hAnsi="Arial" w:cs="Arial"/>
          <w:b/>
          <w:color w:val="0000CC"/>
          <w:lang w:val="fr-FR"/>
        </w:rPr>
      </w:pPr>
      <w:r>
        <w:rPr>
          <w:rFonts w:ascii="Arial" w:hAnsi="Arial" w:cs="Arial"/>
          <w:b/>
          <w:color w:val="0000CC"/>
          <w:lang w:val="fr-FR"/>
        </w:rPr>
        <w:t>Par conséquent, si l’o</w:t>
      </w:r>
      <w:r w:rsidR="00D756A6">
        <w:rPr>
          <w:rFonts w:ascii="Arial" w:hAnsi="Arial" w:cs="Arial"/>
          <w:b/>
          <w:color w:val="0000CC"/>
          <w:lang w:val="fr-FR"/>
        </w:rPr>
        <w:t>n souhaite que le composant TSL2571</w:t>
      </w:r>
      <w:r>
        <w:rPr>
          <w:rFonts w:ascii="Arial" w:hAnsi="Arial" w:cs="Arial"/>
          <w:b/>
          <w:color w:val="0000CC"/>
          <w:lang w:val="fr-FR"/>
        </w:rPr>
        <w:t xml:space="preserve"> puisse élaborer une requête d’inte</w:t>
      </w:r>
      <w:r w:rsidR="00D756A6">
        <w:rPr>
          <w:rFonts w:ascii="Arial" w:hAnsi="Arial" w:cs="Arial"/>
          <w:b/>
          <w:color w:val="0000CC"/>
          <w:lang w:val="fr-FR"/>
        </w:rPr>
        <w:t>rruption auprès du µC, il faut que sa sortie d’interruption INT soit active au niveau bas, ce qui est effectivement le cas (réponse à la question 3.13).</w:t>
      </w:r>
    </w:p>
    <w:sectPr w:rsidR="007646DB" w:rsidRPr="00697CC2" w:rsidSect="007D7ADF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E93E" w14:textId="77777777" w:rsidR="006C67FF" w:rsidRDefault="006C67FF" w:rsidP="00BA01A2">
      <w:pPr>
        <w:spacing w:after="0" w:line="240" w:lineRule="auto"/>
      </w:pPr>
      <w:r>
        <w:separator/>
      </w:r>
    </w:p>
  </w:endnote>
  <w:endnote w:type="continuationSeparator" w:id="0">
    <w:p w14:paraId="7FD3E93F" w14:textId="77777777" w:rsidR="006C67FF" w:rsidRDefault="006C67FF" w:rsidP="00B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3E940" w14:textId="77777777" w:rsidR="005E75F5" w:rsidRPr="006D22DD" w:rsidRDefault="005E75F5">
    <w:pPr>
      <w:pStyle w:val="Pieddepage"/>
      <w:rPr>
        <w:rFonts w:ascii="Arial" w:hAnsi="Arial" w:cs="Arial"/>
        <w:b/>
        <w:sz w:val="16"/>
        <w:szCs w:val="16"/>
        <w:lang w:val="fr-FR"/>
      </w:rPr>
    </w:pP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idalab</w:t>
    </w:r>
    <w:proofErr w:type="spellEnd"/>
    <w:r w:rsidRPr="00BA01A2">
      <w:rPr>
        <w:rFonts w:ascii="Arial" w:hAnsi="Arial" w:cs="Arial"/>
        <w:b/>
        <w:sz w:val="16"/>
        <w:szCs w:val="16"/>
      </w:rPr>
      <w:ptab w:relativeTo="margin" w:alignment="center" w:leader="none"/>
    </w:r>
    <w:r w:rsidRPr="00983F18">
      <w:rPr>
        <w:rFonts w:ascii="Arial" w:hAnsi="Arial" w:cs="Arial"/>
        <w:b/>
        <w:sz w:val="16"/>
        <w:szCs w:val="16"/>
        <w:lang w:val="fr-FR"/>
      </w:rPr>
      <w:t xml:space="preserve">Carte </w:t>
    </w:r>
    <w:r>
      <w:rPr>
        <w:rFonts w:ascii="Arial" w:hAnsi="Arial" w:cs="Arial"/>
        <w:b/>
        <w:sz w:val="16"/>
        <w:szCs w:val="16"/>
        <w:lang w:val="fr-FR"/>
      </w:rPr>
      <w:t xml:space="preserve">End </w:t>
    </w:r>
    <w:proofErr w:type="spellStart"/>
    <w:r>
      <w:rPr>
        <w:rFonts w:ascii="Arial" w:hAnsi="Arial" w:cs="Arial"/>
        <w:b/>
        <w:sz w:val="16"/>
        <w:szCs w:val="16"/>
        <w:lang w:val="fr-FR"/>
      </w:rPr>
      <w:t>Device</w:t>
    </w:r>
    <w:proofErr w:type="spellEnd"/>
    <w:r>
      <w:rPr>
        <w:rFonts w:ascii="Arial" w:hAnsi="Arial" w:cs="Arial"/>
        <w:b/>
        <w:sz w:val="16"/>
        <w:szCs w:val="16"/>
        <w:lang w:val="fr-FR"/>
      </w:rPr>
      <w:t xml:space="preserve"> – Acquisition et</w:t>
    </w:r>
    <w:r w:rsidR="000D0051">
      <w:rPr>
        <w:rFonts w:ascii="Arial" w:hAnsi="Arial" w:cs="Arial"/>
        <w:b/>
        <w:sz w:val="16"/>
        <w:szCs w:val="16"/>
        <w:lang w:val="fr-FR"/>
      </w:rPr>
      <w:t xml:space="preserve"> mesure de l’éclairement lumineux</w:t>
    </w:r>
    <w:r w:rsidRPr="00BA01A2">
      <w:rPr>
        <w:rFonts w:ascii="Arial" w:hAnsi="Arial" w:cs="Arial"/>
        <w:b/>
        <w:sz w:val="16"/>
        <w:szCs w:val="16"/>
      </w:rPr>
      <w:ptab w:relativeTo="margin" w:alignment="right" w:leader="none"/>
    </w:r>
    <w:proofErr w:type="spellStart"/>
    <w:r w:rsidRPr="006D22DD">
      <w:rPr>
        <w:rFonts w:ascii="Arial" w:hAnsi="Arial" w:cs="Arial"/>
        <w:b/>
        <w:sz w:val="16"/>
        <w:szCs w:val="16"/>
        <w:lang w:val="fr-FR"/>
      </w:rPr>
      <w:t>D</w:t>
    </w:r>
    <w:r>
      <w:rPr>
        <w:rFonts w:ascii="Arial" w:hAnsi="Arial" w:cs="Arial"/>
        <w:b/>
        <w:sz w:val="16"/>
        <w:szCs w:val="16"/>
        <w:lang w:val="fr-FR"/>
      </w:rPr>
      <w:t>id@LoRaWAN</w:t>
    </w:r>
    <w:proofErr w:type="spellEnd"/>
  </w:p>
  <w:p w14:paraId="7FD3E941" w14:textId="77777777" w:rsidR="005E75F5" w:rsidRPr="008C04B4" w:rsidRDefault="008C04B4" w:rsidP="008C04B4">
    <w:pPr>
      <w:pStyle w:val="Pieddepage"/>
      <w:jc w:val="center"/>
      <w:rPr>
        <w:rFonts w:ascii="Arial" w:hAnsi="Arial" w:cs="Arial"/>
        <w:b/>
        <w:color w:val="0000CC"/>
        <w:sz w:val="16"/>
        <w:szCs w:val="16"/>
        <w:lang w:val="fr-FR"/>
      </w:rPr>
    </w:pPr>
    <w:r>
      <w:rPr>
        <w:rFonts w:ascii="Arial" w:hAnsi="Arial" w:cs="Arial"/>
        <w:b/>
        <w:color w:val="0000CC"/>
        <w:sz w:val="16"/>
        <w:szCs w:val="16"/>
        <w:lang w:val="fr-FR"/>
      </w:rPr>
      <w:t>Correction</w:t>
    </w:r>
  </w:p>
  <w:p w14:paraId="7FD3E942" w14:textId="77777777" w:rsidR="005E75F5" w:rsidRPr="00BA01A2" w:rsidRDefault="005E75F5" w:rsidP="00BA01A2">
    <w:pPr>
      <w:pStyle w:val="Pieddepage"/>
      <w:jc w:val="center"/>
      <w:rPr>
        <w:rFonts w:ascii="Arial" w:hAnsi="Arial" w:cs="Arial"/>
        <w:b/>
        <w:sz w:val="16"/>
        <w:szCs w:val="16"/>
        <w:lang w:val="fr-FR"/>
      </w:rPr>
    </w:pPr>
    <w:r w:rsidRPr="00BA01A2">
      <w:rPr>
        <w:rFonts w:ascii="Arial" w:hAnsi="Arial" w:cs="Arial"/>
        <w:b/>
        <w:sz w:val="16"/>
        <w:szCs w:val="16"/>
        <w:lang w:val="fr-FR"/>
      </w:rPr>
      <w:t xml:space="preserve">Page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PAGE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7D7ADF">
      <w:rPr>
        <w:rFonts w:ascii="Arial" w:hAnsi="Arial" w:cs="Arial"/>
        <w:b/>
        <w:bCs/>
        <w:noProof/>
        <w:sz w:val="16"/>
        <w:szCs w:val="16"/>
        <w:lang w:val="fr-FR"/>
      </w:rPr>
      <w:t>6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  <w:r w:rsidRPr="00BA01A2">
      <w:rPr>
        <w:rFonts w:ascii="Arial" w:hAnsi="Arial" w:cs="Arial"/>
        <w:b/>
        <w:sz w:val="16"/>
        <w:szCs w:val="16"/>
        <w:lang w:val="fr-FR"/>
      </w:rPr>
      <w:t xml:space="preserve"> sur 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begin"/>
    </w:r>
    <w:r w:rsidRPr="00BA01A2">
      <w:rPr>
        <w:rFonts w:ascii="Arial" w:hAnsi="Arial" w:cs="Arial"/>
        <w:b/>
        <w:bCs/>
        <w:sz w:val="16"/>
        <w:szCs w:val="16"/>
        <w:lang w:val="fr-FR"/>
      </w:rPr>
      <w:instrText>NUMPAGES  \* Arabic  \* MERGEFORMAT</w:instrTex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separate"/>
    </w:r>
    <w:r w:rsidR="007D7ADF">
      <w:rPr>
        <w:rFonts w:ascii="Arial" w:hAnsi="Arial" w:cs="Arial"/>
        <w:b/>
        <w:bCs/>
        <w:noProof/>
        <w:sz w:val="16"/>
        <w:szCs w:val="16"/>
        <w:lang w:val="fr-FR"/>
      </w:rPr>
      <w:t>6</w:t>
    </w:r>
    <w:r w:rsidRPr="00BA01A2">
      <w:rPr>
        <w:rFonts w:ascii="Arial" w:hAnsi="Arial" w:cs="Arial"/>
        <w:b/>
        <w:bCs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3E93C" w14:textId="77777777" w:rsidR="006C67FF" w:rsidRDefault="006C67FF" w:rsidP="00BA01A2">
      <w:pPr>
        <w:spacing w:after="0" w:line="240" w:lineRule="auto"/>
      </w:pPr>
      <w:r>
        <w:separator/>
      </w:r>
    </w:p>
  </w:footnote>
  <w:footnote w:type="continuationSeparator" w:id="0">
    <w:p w14:paraId="7FD3E93D" w14:textId="77777777" w:rsidR="006C67FF" w:rsidRDefault="006C67FF" w:rsidP="00B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0491"/>
    <w:multiLevelType w:val="hybridMultilevel"/>
    <w:tmpl w:val="FB78C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6A12"/>
    <w:multiLevelType w:val="hybridMultilevel"/>
    <w:tmpl w:val="E5548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34382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AA2E67"/>
    <w:multiLevelType w:val="multilevel"/>
    <w:tmpl w:val="D820C8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01220B"/>
    <w:multiLevelType w:val="hybridMultilevel"/>
    <w:tmpl w:val="B69E6B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E0284"/>
    <w:multiLevelType w:val="hybridMultilevel"/>
    <w:tmpl w:val="40D47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E5B0B"/>
    <w:multiLevelType w:val="hybridMultilevel"/>
    <w:tmpl w:val="F1AA99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23021"/>
    <w:multiLevelType w:val="hybridMultilevel"/>
    <w:tmpl w:val="63645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C7D0E"/>
    <w:multiLevelType w:val="multilevel"/>
    <w:tmpl w:val="AAB08D6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59136B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8A17DE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29A5561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6B97B82"/>
    <w:multiLevelType w:val="multilevel"/>
    <w:tmpl w:val="24A061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D96404B"/>
    <w:multiLevelType w:val="hybridMultilevel"/>
    <w:tmpl w:val="89E46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A55EE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E7F7DE9"/>
    <w:multiLevelType w:val="hybridMultilevel"/>
    <w:tmpl w:val="31C6E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F3943"/>
    <w:multiLevelType w:val="multilevel"/>
    <w:tmpl w:val="991E8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9E304A5"/>
    <w:multiLevelType w:val="hybridMultilevel"/>
    <w:tmpl w:val="C862EB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C536B"/>
    <w:multiLevelType w:val="hybridMultilevel"/>
    <w:tmpl w:val="0106B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340D7"/>
    <w:multiLevelType w:val="multilevel"/>
    <w:tmpl w:val="9806C8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7DE3EFC"/>
    <w:multiLevelType w:val="hybridMultilevel"/>
    <w:tmpl w:val="CC2AE4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DE34CB"/>
    <w:multiLevelType w:val="multilevel"/>
    <w:tmpl w:val="0258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9AA38F7"/>
    <w:multiLevelType w:val="multilevel"/>
    <w:tmpl w:val="BFA25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53394763">
    <w:abstractNumId w:val="9"/>
  </w:num>
  <w:num w:numId="2" w16cid:durableId="230970263">
    <w:abstractNumId w:val="4"/>
  </w:num>
  <w:num w:numId="3" w16cid:durableId="1908029852">
    <w:abstractNumId w:val="7"/>
  </w:num>
  <w:num w:numId="4" w16cid:durableId="257717991">
    <w:abstractNumId w:val="14"/>
  </w:num>
  <w:num w:numId="5" w16cid:durableId="1867325517">
    <w:abstractNumId w:val="21"/>
  </w:num>
  <w:num w:numId="6" w16cid:durableId="216206317">
    <w:abstractNumId w:val="12"/>
  </w:num>
  <w:num w:numId="7" w16cid:durableId="1030494310">
    <w:abstractNumId w:val="3"/>
  </w:num>
  <w:num w:numId="8" w16cid:durableId="714473580">
    <w:abstractNumId w:val="2"/>
  </w:num>
  <w:num w:numId="9" w16cid:durableId="2081558455">
    <w:abstractNumId w:val="19"/>
  </w:num>
  <w:num w:numId="10" w16cid:durableId="1708984656">
    <w:abstractNumId w:val="22"/>
  </w:num>
  <w:num w:numId="11" w16cid:durableId="1599558741">
    <w:abstractNumId w:val="8"/>
  </w:num>
  <w:num w:numId="12" w16cid:durableId="933784829">
    <w:abstractNumId w:val="0"/>
  </w:num>
  <w:num w:numId="13" w16cid:durableId="279801992">
    <w:abstractNumId w:val="18"/>
  </w:num>
  <w:num w:numId="14" w16cid:durableId="1367099527">
    <w:abstractNumId w:val="17"/>
  </w:num>
  <w:num w:numId="15" w16cid:durableId="1203906755">
    <w:abstractNumId w:val="15"/>
  </w:num>
  <w:num w:numId="16" w16cid:durableId="1675767480">
    <w:abstractNumId w:val="20"/>
  </w:num>
  <w:num w:numId="17" w16cid:durableId="1510561889">
    <w:abstractNumId w:val="13"/>
  </w:num>
  <w:num w:numId="18" w16cid:durableId="2127113227">
    <w:abstractNumId w:val="5"/>
  </w:num>
  <w:num w:numId="19" w16cid:durableId="1255940217">
    <w:abstractNumId w:val="1"/>
  </w:num>
  <w:num w:numId="20" w16cid:durableId="243951604">
    <w:abstractNumId w:val="16"/>
  </w:num>
  <w:num w:numId="21" w16cid:durableId="1300065889">
    <w:abstractNumId w:val="11"/>
  </w:num>
  <w:num w:numId="22" w16cid:durableId="1369600488">
    <w:abstractNumId w:val="6"/>
  </w:num>
  <w:num w:numId="23" w16cid:durableId="13711529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47"/>
    <w:rsid w:val="0000205C"/>
    <w:rsid w:val="00005721"/>
    <w:rsid w:val="0005494F"/>
    <w:rsid w:val="000731E8"/>
    <w:rsid w:val="000823A7"/>
    <w:rsid w:val="00092B64"/>
    <w:rsid w:val="000A2A5F"/>
    <w:rsid w:val="000D0051"/>
    <w:rsid w:val="000D6964"/>
    <w:rsid w:val="000E53E5"/>
    <w:rsid w:val="000F0A59"/>
    <w:rsid w:val="001074D9"/>
    <w:rsid w:val="00137FBF"/>
    <w:rsid w:val="00142A44"/>
    <w:rsid w:val="0016248D"/>
    <w:rsid w:val="001E5768"/>
    <w:rsid w:val="002208AC"/>
    <w:rsid w:val="00226765"/>
    <w:rsid w:val="0026415E"/>
    <w:rsid w:val="002828CC"/>
    <w:rsid w:val="002E5F3B"/>
    <w:rsid w:val="002F26AA"/>
    <w:rsid w:val="002F3668"/>
    <w:rsid w:val="002F56E1"/>
    <w:rsid w:val="00316BC7"/>
    <w:rsid w:val="0032722F"/>
    <w:rsid w:val="0033250F"/>
    <w:rsid w:val="00361133"/>
    <w:rsid w:val="00366345"/>
    <w:rsid w:val="00373306"/>
    <w:rsid w:val="003914A8"/>
    <w:rsid w:val="003B03AD"/>
    <w:rsid w:val="003D1DFA"/>
    <w:rsid w:val="003D3037"/>
    <w:rsid w:val="00412F4F"/>
    <w:rsid w:val="004321EF"/>
    <w:rsid w:val="00433114"/>
    <w:rsid w:val="00437583"/>
    <w:rsid w:val="004510CA"/>
    <w:rsid w:val="0046747E"/>
    <w:rsid w:val="00487A0B"/>
    <w:rsid w:val="004C034F"/>
    <w:rsid w:val="004C2EC2"/>
    <w:rsid w:val="004D3F69"/>
    <w:rsid w:val="004D78D4"/>
    <w:rsid w:val="004E0927"/>
    <w:rsid w:val="004E781D"/>
    <w:rsid w:val="00501F81"/>
    <w:rsid w:val="00512E6A"/>
    <w:rsid w:val="00514073"/>
    <w:rsid w:val="00534792"/>
    <w:rsid w:val="00563C94"/>
    <w:rsid w:val="0057243E"/>
    <w:rsid w:val="00573432"/>
    <w:rsid w:val="00577EB3"/>
    <w:rsid w:val="005A261D"/>
    <w:rsid w:val="005B0C81"/>
    <w:rsid w:val="005B1267"/>
    <w:rsid w:val="005C2190"/>
    <w:rsid w:val="005E4225"/>
    <w:rsid w:val="005E538D"/>
    <w:rsid w:val="005E75F5"/>
    <w:rsid w:val="006169B2"/>
    <w:rsid w:val="006179DA"/>
    <w:rsid w:val="006219A4"/>
    <w:rsid w:val="00636079"/>
    <w:rsid w:val="00661738"/>
    <w:rsid w:val="00691FE5"/>
    <w:rsid w:val="00697CC2"/>
    <w:rsid w:val="006C43D0"/>
    <w:rsid w:val="006C67FF"/>
    <w:rsid w:val="006D1981"/>
    <w:rsid w:val="006D22DD"/>
    <w:rsid w:val="006E32E5"/>
    <w:rsid w:val="006E3DEB"/>
    <w:rsid w:val="006E496F"/>
    <w:rsid w:val="006E4C63"/>
    <w:rsid w:val="0070216F"/>
    <w:rsid w:val="007021F3"/>
    <w:rsid w:val="007168D1"/>
    <w:rsid w:val="00723849"/>
    <w:rsid w:val="00740BDC"/>
    <w:rsid w:val="007646DB"/>
    <w:rsid w:val="0077634E"/>
    <w:rsid w:val="00787441"/>
    <w:rsid w:val="00791760"/>
    <w:rsid w:val="007A1214"/>
    <w:rsid w:val="007B5717"/>
    <w:rsid w:val="007B65B4"/>
    <w:rsid w:val="007D02F5"/>
    <w:rsid w:val="007D7ADF"/>
    <w:rsid w:val="00835833"/>
    <w:rsid w:val="00870443"/>
    <w:rsid w:val="008B78FD"/>
    <w:rsid w:val="008C04B4"/>
    <w:rsid w:val="008C472C"/>
    <w:rsid w:val="008E5B47"/>
    <w:rsid w:val="0092152E"/>
    <w:rsid w:val="00953712"/>
    <w:rsid w:val="00970C06"/>
    <w:rsid w:val="00983F18"/>
    <w:rsid w:val="009B661C"/>
    <w:rsid w:val="009B6DBA"/>
    <w:rsid w:val="009D2343"/>
    <w:rsid w:val="009F2AA9"/>
    <w:rsid w:val="00A5336A"/>
    <w:rsid w:val="00AD6F8D"/>
    <w:rsid w:val="00AF40FA"/>
    <w:rsid w:val="00B420A6"/>
    <w:rsid w:val="00B44BEA"/>
    <w:rsid w:val="00B470A0"/>
    <w:rsid w:val="00B56D73"/>
    <w:rsid w:val="00B64243"/>
    <w:rsid w:val="00B93CDF"/>
    <w:rsid w:val="00BA01A2"/>
    <w:rsid w:val="00BA6657"/>
    <w:rsid w:val="00BB7779"/>
    <w:rsid w:val="00BC331B"/>
    <w:rsid w:val="00BC5148"/>
    <w:rsid w:val="00BF129B"/>
    <w:rsid w:val="00BF2ED1"/>
    <w:rsid w:val="00C415D8"/>
    <w:rsid w:val="00C53EF8"/>
    <w:rsid w:val="00C60C05"/>
    <w:rsid w:val="00C72779"/>
    <w:rsid w:val="00C75EA0"/>
    <w:rsid w:val="00C874FF"/>
    <w:rsid w:val="00C90133"/>
    <w:rsid w:val="00CB1DE0"/>
    <w:rsid w:val="00CE6EAB"/>
    <w:rsid w:val="00D20C93"/>
    <w:rsid w:val="00D756A6"/>
    <w:rsid w:val="00DB666F"/>
    <w:rsid w:val="00DC1E55"/>
    <w:rsid w:val="00DD53B0"/>
    <w:rsid w:val="00DF1654"/>
    <w:rsid w:val="00E169AF"/>
    <w:rsid w:val="00E25A30"/>
    <w:rsid w:val="00E510BF"/>
    <w:rsid w:val="00E81FED"/>
    <w:rsid w:val="00E865A6"/>
    <w:rsid w:val="00EB45E9"/>
    <w:rsid w:val="00ED4412"/>
    <w:rsid w:val="00EE5984"/>
    <w:rsid w:val="00EE646E"/>
    <w:rsid w:val="00F270F9"/>
    <w:rsid w:val="00F33791"/>
    <w:rsid w:val="00F3787D"/>
    <w:rsid w:val="00F537EA"/>
    <w:rsid w:val="00F6606A"/>
    <w:rsid w:val="00F7594F"/>
    <w:rsid w:val="00FE0630"/>
    <w:rsid w:val="00FE7D48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D3E888"/>
  <w15:chartTrackingRefBased/>
  <w15:docId w15:val="{1236F580-EF03-4130-BC2C-A7F5524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5B4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6634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1A2"/>
  </w:style>
  <w:style w:type="paragraph" w:styleId="Pieddepage">
    <w:name w:val="footer"/>
    <w:basedOn w:val="Normal"/>
    <w:link w:val="PieddepageCar"/>
    <w:uiPriority w:val="99"/>
    <w:unhideWhenUsed/>
    <w:rsid w:val="00BA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1A2"/>
  </w:style>
  <w:style w:type="table" w:styleId="Grilledutableau">
    <w:name w:val="Table Grid"/>
    <w:basedOn w:val="TableauNormal"/>
    <w:uiPriority w:val="39"/>
    <w:rsid w:val="00DC1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7243E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6C43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www.mouser.fr/datasheet/2/588/TSL2571_DS000114_3-00-1379958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6</Pages>
  <Words>1863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Michel RIBIERRE</cp:lastModifiedBy>
  <cp:revision>26</cp:revision>
  <dcterms:created xsi:type="dcterms:W3CDTF">2019-11-12T10:40:00Z</dcterms:created>
  <dcterms:modified xsi:type="dcterms:W3CDTF">2022-04-18T05:22:00Z</dcterms:modified>
</cp:coreProperties>
</file>