
<file path=[Content_Types].xml><?xml version="1.0" encoding="utf-8"?>
<Types xmlns="http://schemas.openxmlformats.org/package/2006/content-types">
  <Default Extension="jpg" ContentType="image/jpeg"/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Style w:val="680"/>
        <w:tblW w:w="10915" w:type="dxa"/>
        <w:tblInd w:w="57" w:type="dxa"/>
        <w:tblCellMar>
          <w:left w:w="57" w:type="dxa"/>
          <w:right w:w="108" w:type="dxa"/>
        </w:tblCellMar>
        <w:tblLook w:val="0000" w:firstRow="0" w:lastRow="0" w:firstColumn="0" w:lastColumn="0" w:noHBand="0" w:noVBand="0"/>
      </w:tblPr>
      <w:tblGrid>
        <w:gridCol w:w="2267"/>
        <w:gridCol w:w="2605"/>
        <w:gridCol w:w="797"/>
        <w:gridCol w:w="5246"/>
      </w:tblGrid>
      <w:tr>
        <w:trPr>
          <w:trHeight w:val="397"/>
        </w:trPr>
        <w:tc>
          <w:tcPr>
            <w:gridSpan w:val="4"/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0915" w:type="dxa"/>
            <w:vAlign w:val="center"/>
            <w:textDirection w:val="lrTb"/>
            <w:noWrap w:val="false"/>
          </w:tcPr>
          <w:p>
            <w:pPr>
              <w:jc w:val="center"/>
              <w:spacing w:before="120"/>
              <w:rPr>
                <w:rFonts w:ascii="Calibri" w:hAnsi="Calibri" w:cs="Calibri" w:eastAsia="Calibri"/>
                <w:b/>
                <w:color w:val="000000"/>
              </w:rPr>
            </w:pPr>
            <w:r/>
            <w:bookmarkStart w:id="0" w:name="_Hlk69660199"/>
            <w:r>
              <w:rPr>
                <w:rFonts w:ascii="Calibri" w:hAnsi="Calibri" w:cs="Calibri" w:eastAsia="Calibri"/>
                <w:b/>
                <w:color w:val="000000"/>
                <w:sz w:val="36"/>
                <w:szCs w:val="36"/>
              </w:rPr>
              <w:t xml:space="preserve">FICHE PÉDAGOGIQUE DE LA SÉQUENCE n°1</w:t>
            </w:r>
            <w:r/>
          </w:p>
        </w:tc>
      </w:tr>
      <w:tr>
        <w:trPr>
          <w:trHeight w:val="666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W w:w="4872" w:type="dxa"/>
            <w:vMerge w:val="restart"/>
            <w:textDirection w:val="lrTb"/>
            <w:noWrap w:val="false"/>
          </w:tcPr>
          <w:p>
            <w:pPr>
              <w:spacing w:lineRule="auto" w:line="360"/>
              <w:rPr>
                <w:rFonts w:ascii="Arial" w:hAnsi="Arial" w:cs="Arial" w:eastAsia="Calibri"/>
                <w:b/>
                <w:i/>
                <w:color w:val="FF9900"/>
                <w:sz w:val="18"/>
                <w:szCs w:val="1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1543050</wp:posOffset>
                      </wp:positionH>
                      <wp:positionV relativeFrom="paragraph">
                        <wp:posOffset>403860</wp:posOffset>
                      </wp:positionV>
                      <wp:extent cx="1493520" cy="700405"/>
                      <wp:effectExtent l="0" t="0" r="0" b="0"/>
                      <wp:wrapNone/>
                      <wp:docPr id="1" name="" hidden="fal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93520" cy="700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</w:rPr>
                                    <w:t xml:space="preserve">Maintenance et mise en service de la Centrale de Traitement d’Air</w:t>
                                  </w:r>
                                  <w:r/>
                                </w:p>
                                <w:p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000000"/>
                                      <w:sz w:val="20"/>
                                    </w:rPr>
                                  </w:r>
                                  <w:r/>
                                </w:p>
                              </w:txbxContent>
                            </wps:txbx>
                            <wps:bodyPr wrap="square" lIns="36000" tIns="36000" rIns="36000" bIns="3600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0" o:spid="_x0000_s0" o:spt="1" style="position:absolute;mso-wrap-distance-left:9.0pt;mso-wrap-distance-top:0.0pt;mso-wrap-distance-right:9.0pt;mso-wrap-distance-bottom:0.0pt;z-index:251658240;o:allowoverlap:true;o:allowincell:true;mso-position-horizontal-relative:text;margin-left:121.5pt;mso-position-horizontal:absolute;mso-position-vertical-relative:text;margin-top:31.8pt;mso-position-vertical:absolute;width:117.6pt;height:55.1pt;" coordsize="100000,100000" path="" filled="f">
                      <v:path textboxrect="0,0,0,0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</w:rPr>
                              <w:t xml:space="preserve">Maintenance et mise en service de la Centrale de Traitement d’Air</w:t>
                            </w:r>
                            <w:r/>
                          </w:p>
                          <w:p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</w:rPr>
                            </w:r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  <mc:AlternateContent>
                <mc:Choice Requires="wpg">
                  <w:drawing>
                    <wp:anchor xmlns:wp="http://schemas.openxmlformats.org/drawingml/2006/wordprocessingDrawing"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903</wp:posOffset>
                      </wp:positionH>
                      <wp:positionV relativeFrom="paragraph">
                        <wp:posOffset>335280</wp:posOffset>
                      </wp:positionV>
                      <wp:extent cx="1512000" cy="958829"/>
                      <wp:effectExtent l="0" t="0" r="0" b="0"/>
                      <wp:wrapSquare wrapText="bothSides"/>
                      <wp:docPr id="2" name="Image 3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index.jpe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12000" cy="95882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position:absolute;mso-wrap-distance-left:9.0pt;mso-wrap-distance-top:0.0pt;mso-wrap-distance-right:9.0pt;mso-wrap-distance-bottom:0.0pt;z-index:251656192;o:allowoverlap:true;o:allowincell:true;mso-position-horizontal-relative:text;margin-left:0.1pt;mso-position-horizontal:absolute;mso-position-vertical-relative:text;margin-top:26.4pt;mso-position-vertical:absolute;width:119.1pt;height:75.5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color w:val="000000" w:themeColor="text1"/>
              </w:rPr>
              <w:t xml:space="preserve">Projet Groupe Scolaire :</w:t>
            </w:r>
            <w:r/>
          </w:p>
        </w:tc>
        <w:tc>
          <w:tcPr>
            <w:gridSpan w:val="2"/>
            <w:shd w:val="clear" w:color="auto" w:fill="FFFFCC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6043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keepNext/>
              <w:spacing w:after="40"/>
              <w:tabs>
                <w:tab w:val="left" w:pos="0" w:leader="none"/>
              </w:tabs>
              <w:rPr>
                <w:rFonts w:ascii="Calibri" w:hAnsi="Calibri" w:cs="Calibri" w:eastAsia="Calibri"/>
                <w:b/>
                <w:i/>
                <w:color w:val="000000"/>
                <w:sz w:val="18"/>
                <w:szCs w:val="18"/>
              </w:rPr>
              <w:outlineLvl w:val="0"/>
            </w:pPr>
            <w:r>
              <w:rPr>
                <w:rFonts w:ascii="Calibri" w:hAnsi="Calibri" w:cs="Calibri" w:eastAsia="Calibri"/>
                <w:b/>
                <w:i/>
                <w:color w:val="000000"/>
                <w:sz w:val="18"/>
                <w:szCs w:val="18"/>
              </w:rPr>
              <w:t xml:space="preserve">Problématique</w:t>
            </w:r>
            <w:r/>
          </w:p>
          <w:p>
            <w:pPr>
              <w:jc w:val="center"/>
              <w:rPr>
                <w:rFonts w:ascii="Calibri" w:hAnsi="Calibri"/>
                <w:b/>
                <w:bCs/>
                <w:color w:val="F79646"/>
              </w:rPr>
            </w:pPr>
            <w:r>
              <w:rPr>
                <w:rFonts w:ascii="Calibri" w:hAnsi="Calibri" w:cs="Calibri"/>
                <w:i/>
                <w:color w:val="002060"/>
                <w:sz w:val="22"/>
              </w:rPr>
              <w:t xml:space="preserve">Comment préparer son</w:t>
            </w:r>
            <w:r>
              <w:rPr>
                <w:rFonts w:ascii="Calibri" w:hAnsi="Calibri" w:cs="Calibri"/>
                <w:i/>
                <w:color w:val="002060"/>
                <w:spacing w:val="-4"/>
                <w:sz w:val="22"/>
              </w:rPr>
              <w:t xml:space="preserve"> i</w:t>
            </w:r>
            <w:r>
              <w:rPr>
                <w:rFonts w:ascii="Calibri" w:hAnsi="Calibri" w:cs="Calibri"/>
                <w:i/>
                <w:color w:val="002060"/>
                <w:sz w:val="22"/>
              </w:rPr>
              <w:t xml:space="preserve">ntervention ?</w:t>
            </w:r>
            <w:r/>
          </w:p>
        </w:tc>
      </w:tr>
      <w:tr>
        <w:trPr>
          <w:trHeight w:val="1383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4872" w:type="dxa"/>
            <w:vMerge w:val="continue"/>
            <w:textDirection w:val="lrTb"/>
            <w:noWrap w:val="false"/>
          </w:tcPr>
          <w:p>
            <w:pPr>
              <w:spacing w:lineRule="auto" w:line="276"/>
              <w:widowControl w:val="off"/>
            </w:pPr>
            <w:r/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6043" w:type="dxa"/>
            <w:vAlign w:val="center"/>
            <w:textDirection w:val="lrTb"/>
            <w:noWrap w:val="false"/>
          </w:tcPr>
          <w:p>
            <w:pPr>
              <w:pStyle w:val="600"/>
              <w:numPr>
                <w:ilvl w:val="0"/>
                <w:numId w:val="3"/>
              </w:numPr>
              <w:jc w:val="center"/>
              <w:spacing w:after="40" w:before="40"/>
              <w:tabs>
                <w:tab w:val="left" w:pos="0" w:leader="none"/>
              </w:tabs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  <w:t xml:space="preserve">Positionnement sur la classe de terminale</w:t>
            </w:r>
            <w:r/>
          </w:p>
          <w:p>
            <w:pPr>
              <w:pStyle w:val="600"/>
              <w:numPr>
                <w:ilvl w:val="0"/>
                <w:numId w:val="3"/>
              </w:numPr>
              <w:ind w:left="387"/>
              <w:jc w:val="center"/>
              <w:spacing w:after="40" w:before="40"/>
              <w:tabs>
                <w:tab w:val="left" w:pos="387" w:leader="none"/>
              </w:tabs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  <w:t xml:space="preserve">Début d’année                                                                               Fin d’année</w:t>
            </w:r>
            <w:r/>
          </w:p>
          <w:tbl>
            <w:tblPr>
              <w:tblStyle w:val="681"/>
              <w:tblW w:w="5295" w:type="dxa"/>
              <w:tblInd w:w="553" w:type="dxa"/>
              <w:tblCellMar>
                <w:right w:w="0" w:type="dxa"/>
              </w:tblCellMar>
              <w:tblLook w:val="0400" w:firstRow="0" w:lastRow="0" w:firstColumn="0" w:lastColumn="0" w:noHBand="0" w:noVBand="1"/>
            </w:tblPr>
            <w:tblGrid>
              <w:gridCol w:w="435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>
              <w:trPr/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435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/>
                  <w:bookmarkStart w:id="1" w:name="_Hlk69660267"/>
                  <w:r/>
                  <w:r/>
                </w:p>
              </w:tc>
              <w:tc>
                <w:tcPr>
                  <w:shd w:val="clear" w:color="auto" w:fill="00B050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B050"/>
                      <w:highlight w:val="darkBlue"/>
                    </w:rPr>
                  </w:pPr>
                  <w:r>
                    <w:rPr>
                      <w:color w:val="00B05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00B050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B050"/>
                      <w:highlight w:val="darkBlue"/>
                    </w:rPr>
                  </w:pPr>
                  <w:r>
                    <w:rPr>
                      <w:color w:val="00B05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FFFFFF" w:themeFill="background1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FFFFFF" w:themeFill="background1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bookmarkEnd w:id="1"/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8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</w:tr>
          </w:tbl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</w:tr>
      <w:tr>
        <w:trPr>
          <w:trHeight w:val="320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Compétences visées</w:t>
            </w:r>
            <w:r/>
          </w:p>
        </w:tc>
        <w:tc>
          <w:tcPr>
            <w:gridSpan w:val="2"/>
            <w:shd w:val="clear" w:color="auto" w:fill="B7DDE8"/>
            <w:tcBorders>
              <w:left w:val="single" w:color="000001" w:sz="6" w:space="0"/>
              <w:top w:val="single" w:color="000001" w:sz="12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color w:val="00000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Critères d’évaluation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24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Savoirs associés</w:t>
            </w:r>
            <w:r/>
          </w:p>
        </w:tc>
      </w:tr>
      <w:tr>
        <w:trPr>
          <w:trHeight w:val="1508"/>
        </w:trPr>
        <w:tc>
          <w:tcPr>
            <w:shd w:val="clear" w:color="auto" w:fill="FFFFCC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bCs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bCs/>
                <w:sz w:val="18"/>
                <w:szCs w:val="18"/>
              </w:rPr>
              <w:t xml:space="preserve">C1.1 Collecter les données nécessaires à l’intervention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8"/>
              </w:numPr>
              <w:ind w:left="247" w:right="187" w:hanging="143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Les données techniques nécessaires à son intervention sont identifiées  </w:t>
            </w:r>
            <w:r/>
          </w:p>
          <w:p>
            <w:pPr>
              <w:pStyle w:val="635"/>
              <w:ind w:left="247" w:right="187" w:hanging="143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  <w:p>
            <w:pPr>
              <w:pStyle w:val="635"/>
              <w:numPr>
                <w:ilvl w:val="0"/>
                <w:numId w:val="8"/>
              </w:numPr>
              <w:ind w:left="247" w:right="187" w:hanging="143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La collecte des informations nécessaires à l’intervention est complète et exploitable</w:t>
            </w:r>
            <w:r/>
          </w:p>
          <w:p>
            <w:pPr>
              <w:ind w:left="247" w:right="187" w:hanging="143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246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S1.4 Les procédures administratives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S2.3 La démarche écoresponsable en entreprise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S3.1 L’analyse fonctionnelle et structurelle des installations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S3.3 L’exploitation des documents graphiques et numériques</w:t>
            </w:r>
            <w:bookmarkEnd w:id="0"/>
            <w:r/>
            <w:r/>
          </w:p>
        </w:tc>
      </w:tr>
      <w:tr>
        <w:trPr>
          <w:trHeight w:val="909"/>
        </w:trPr>
        <w:tc>
          <w:tcPr>
            <w:shd w:val="clear" w:color="auto" w:fill="FFFFCC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bCs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C1.2 : Ordonner les données nécessaires à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pStyle w:val="682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-L’ordonnancement des données permet d’identifier les informations utiles à transmettre à l’interne et à l’externe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246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S1.1 L’entreprise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S1.2 Les intervenants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S1.3 Les étapes d’une intervention</w:t>
            </w:r>
            <w:r/>
          </w:p>
        </w:tc>
      </w:tr>
      <w:tr>
        <w:trPr>
          <w:trHeight w:val="1243"/>
        </w:trPr>
        <w:tc>
          <w:tcPr>
            <w:shd w:val="clear" w:color="auto" w:fill="FFFFCC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Arial"/>
                <w:bCs/>
                <w:sz w:val="18"/>
                <w:szCs w:val="18"/>
              </w:rPr>
            </w:pPr>
            <w:r>
              <w:rPr>
                <w:rFonts w:ascii="Arial" w:hAnsi="Arial" w:cs="Arial" w:eastAsia="Arial"/>
                <w:bCs/>
                <w:sz w:val="18"/>
                <w:szCs w:val="18"/>
              </w:rPr>
              <w:t xml:space="preserve">C1.3 : 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Repérer les contraintes liées à l’efficacité énergétique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8"/>
              </w:numPr>
              <w:ind w:left="247" w:right="187" w:hanging="143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Les contraintes liées à l’efficacité énergétique sont repérées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246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S2.9La gestion de l’environnement du site et des déchets produits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S3.1L’analyse fonctionnelle et structurelle des installations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</w:tc>
      </w:tr>
      <w:tr>
        <w:trPr>
          <w:trHeight w:val="1243"/>
        </w:trPr>
        <w:tc>
          <w:tcPr>
            <w:shd w:val="clear" w:color="auto" w:fill="FFFFCC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Arial"/>
                <w:bCs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C1.4 : Repérer les contraintes techniques liées à l’intervention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ind w:left="247" w:right="187" w:hanging="143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</w:r>
            <w:r/>
          </w:p>
          <w:p>
            <w:pPr>
              <w:pStyle w:val="635"/>
              <w:numPr>
                <w:ilvl w:val="0"/>
                <w:numId w:val="8"/>
              </w:numPr>
              <w:ind w:left="247" w:right="187" w:hanging="143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Les contraintes liées à l’efficacité énergétique sont identifiées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246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S3. 1L’analyse fonctionnelle et structurelle des installations</w:t>
            </w:r>
            <w:r/>
          </w:p>
        </w:tc>
      </w:tr>
      <w:tr>
        <w:trPr>
          <w:trHeight w:val="1061"/>
        </w:trPr>
        <w:tc>
          <w:tcPr>
            <w:shd w:val="clear" w:color="auto" w:fill="FFFFCC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Arial"/>
                <w:bCs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C1.5 : Vérifier la planification de l’intervention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8"/>
              </w:numPr>
              <w:ind w:left="247" w:right="187" w:hanging="143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Les interactions avec les autres intervenants sont repérées</w:t>
            </w:r>
            <w:r/>
          </w:p>
          <w:p>
            <w:pPr>
              <w:pStyle w:val="635"/>
              <w:numPr>
                <w:ilvl w:val="0"/>
                <w:numId w:val="8"/>
              </w:numPr>
              <w:ind w:left="247" w:right="187" w:hanging="143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Les contraintes de co-activités sont repérées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246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S1.1 L’entreprise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S1.2 Les intervenants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S1.3 Les étapes d’une intervention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S1.5 Les qualifications, garanties et responsabilités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</w:tc>
      </w:tr>
      <w:tr>
        <w:trPr>
          <w:trHeight w:val="1243"/>
        </w:trPr>
        <w:tc>
          <w:tcPr>
            <w:shd w:val="clear" w:color="auto" w:fill="FFFFCC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C2.2 : Déterminer les caractéristiques des différents éléments de l’installation</w:t>
            </w:r>
            <w:r/>
          </w:p>
          <w:p>
            <w:pPr>
              <w:rPr>
                <w:rFonts w:ascii="Arial" w:hAnsi="Arial" w:cs="Arial" w:eastAsia="Arial"/>
                <w:bCs/>
                <w:sz w:val="18"/>
                <w:szCs w:val="18"/>
              </w:rPr>
            </w:pPr>
            <w:r>
              <w:rPr>
                <w:rFonts w:ascii="Arial" w:hAnsi="Arial" w:cs="Arial" w:eastAsia="Arial"/>
                <w:bCs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8"/>
              </w:numPr>
              <w:ind w:left="247" w:right="187" w:hanging="143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Les caractéristiques sont déterminées conformément aux contraintes normatives et fonctionnelles et permettent le choix des matériels et des procédures d’intervention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246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S4. 3 L’analyse fonctionnelle et structurelle des installations</w:t>
            </w:r>
            <w:r/>
          </w:p>
        </w:tc>
      </w:tr>
      <w:tr>
        <w:trPr>
          <w:trHeight w:val="1179"/>
        </w:trPr>
        <w:tc>
          <w:tcPr>
            <w:shd w:val="clear" w:color="auto" w:fill="FFFFCC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C2.3 : Identifier les grandeurs physiques nominales associées à l’installation</w:t>
            </w:r>
            <w:r/>
          </w:p>
          <w:p>
            <w:pPr>
              <w:rPr>
                <w:rFonts w:ascii="Arial" w:hAnsi="Arial" w:cs="Arial" w:eastAsia="Arial"/>
                <w:bCs/>
                <w:sz w:val="18"/>
                <w:szCs w:val="18"/>
              </w:rPr>
            </w:pPr>
            <w:r>
              <w:rPr>
                <w:rFonts w:ascii="Arial" w:hAnsi="Arial" w:cs="Arial" w:eastAsia="Arial"/>
                <w:bCs/>
                <w:sz w:val="18"/>
                <w:szCs w:val="18"/>
              </w:rPr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8"/>
              </w:numPr>
              <w:ind w:left="247" w:right="187" w:hanging="143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Les grandeurs physiques </w:t>
            </w: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utiles sont</w:t>
            </w: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 identifiées</w:t>
            </w:r>
            <w:r/>
          </w:p>
          <w:p>
            <w:pPr>
              <w:pStyle w:val="635"/>
              <w:numPr>
                <w:ilvl w:val="0"/>
                <w:numId w:val="8"/>
              </w:numPr>
              <w:ind w:left="247" w:right="187" w:hanging="143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Les valeurs nominales identifiées permettent :</w:t>
            </w:r>
            <w:r/>
          </w:p>
          <w:p>
            <w:pPr>
              <w:pStyle w:val="635"/>
              <w:numPr>
                <w:ilvl w:val="0"/>
                <w:numId w:val="10"/>
              </w:num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d’optimiser le fonctionnement de l’installation</w:t>
            </w:r>
            <w:r/>
          </w:p>
          <w:p>
            <w:pPr>
              <w:pStyle w:val="635"/>
              <w:numPr>
                <w:ilvl w:val="0"/>
                <w:numId w:val="10"/>
              </w:num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de déterminer les moyens de mesures</w:t>
            </w:r>
            <w:r/>
          </w:p>
          <w:p>
            <w:pPr>
              <w:pStyle w:val="635"/>
              <w:numPr>
                <w:ilvl w:val="0"/>
                <w:numId w:val="10"/>
              </w:num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d’assurer la sécurité des personnes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246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S4.3 Les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 circuits thermodynamiques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S4.3 Les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 installations et équipements électriques 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S4.4 Les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 réseaux hydrauliques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S4.5 Les réseaux aérauliques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S6.2 les opérations d’exploration, de mise en service et de maintenance</w:t>
            </w:r>
            <w:r/>
          </w:p>
        </w:tc>
      </w:tr>
      <w:tr>
        <w:trPr>
          <w:trHeight w:val="1243"/>
        </w:trPr>
        <w:tc>
          <w:tcPr>
            <w:shd w:val="clear" w:color="auto" w:fill="FFFFCC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C2.4 : Identifier les consignes de réglage et de sécurité spécifiques au fonctionnement de l’installation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8"/>
              </w:numPr>
              <w:ind w:left="247" w:right="187" w:hanging="143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Les valeurs identifiées permettent de prévoir le réglage des appareils pour un fonctionnement conforme de l’installation</w:t>
            </w:r>
            <w:r/>
          </w:p>
          <w:p>
            <w:pPr>
              <w:pStyle w:val="635"/>
              <w:numPr>
                <w:ilvl w:val="0"/>
                <w:numId w:val="8"/>
              </w:numPr>
              <w:ind w:left="247" w:right="187" w:hanging="143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La protection des personnes et des biens est assurée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246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S4.2 Les circuits thermodynamiques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S4.3 Les installations et équipements électriques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S4.4 Les réseaux hydrauliques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S4.5 Les réseaux aérauliques</w:t>
            </w:r>
            <w:r/>
          </w:p>
        </w:tc>
      </w:tr>
      <w:tr>
        <w:trPr>
          <w:trHeight w:val="1243"/>
        </w:trPr>
        <w:tc>
          <w:tcPr>
            <w:shd w:val="clear" w:color="auto" w:fill="FFFFCC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C3.1 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</w:rPr>
              <w:t xml:space="preserve">Déterminer les matériels, les produits et les outillages nécessaires à la réalisation de son intervention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pStyle w:val="68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-Les matériels, les produits et les outillages choisis sont adaptés à l’intervention </w:t>
            </w:r>
            <w:r/>
          </w:p>
          <w:p>
            <w:pPr>
              <w:pStyle w:val="635"/>
              <w:numPr>
                <w:ilvl w:val="0"/>
                <w:numId w:val="8"/>
              </w:numPr>
              <w:ind w:left="247" w:right="187" w:hanging="143"/>
              <w:widowControl w:val="off"/>
              <w:rPr>
                <w:rFonts w:ascii="Arial" w:hAnsi="Arial" w:cs="Arial" w:eastAsia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La protection de l’environnement est assurée. La liste des équipements, des matériels, des outillages et des </w:t>
            </w:r>
            <w:r>
              <w:rPr>
                <w:rFonts w:ascii="Arial" w:hAnsi="Arial" w:cs="Arial"/>
                <w:sz w:val="18"/>
                <w:szCs w:val="18"/>
              </w:rPr>
              <w:t xml:space="preserve">produits nécessaires à l’opération est communiquée à l’interne et à l’externe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246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S6.2 les opérations d’exploitation, de mise en service et de maintenance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S7.3 La santé et la sécurité au travail</w:t>
            </w:r>
            <w:r/>
          </w:p>
        </w:tc>
      </w:tr>
      <w:tr>
        <w:trPr>
          <w:trHeight w:val="1243"/>
        </w:trPr>
        <w:tc>
          <w:tcPr>
            <w:shd w:val="clear" w:color="auto" w:fill="FFFFCC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C3.2 : Choisir les EPC, les EPI et les EIS adaptés à l’intervention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textDirection w:val="lrTb"/>
            <w:noWrap w:val="false"/>
          </w:tcPr>
          <w:p>
            <w:pPr>
              <w:pStyle w:val="682"/>
              <w:numPr>
                <w:ilvl w:val="0"/>
                <w:numId w:val="1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L’inventaire des EPC, des EPI et des EIS est complet et adapté à l’intervention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246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S6.2 les opérations d’exploration, de mise en service et de maintenance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S7.3 La santé et la sécurité au travail</w:t>
            </w:r>
            <w:r/>
          </w:p>
        </w:tc>
      </w:tr>
      <w:tr>
        <w:trPr>
          <w:trHeight w:val="1243"/>
        </w:trPr>
        <w:tc>
          <w:tcPr>
            <w:shd w:val="clear" w:color="auto" w:fill="FFFFCC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C3.3 : Déterminer les équipements spécifiques nécessaires à l’intervention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textDirection w:val="lrTb"/>
            <w:noWrap w:val="false"/>
          </w:tcPr>
          <w:p>
            <w:pPr>
              <w:pStyle w:val="68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-Les risques professionnels sont identifiés </w:t>
            </w:r>
            <w:r/>
          </w:p>
          <w:p>
            <w:pPr>
              <w:pStyle w:val="68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Les équipements nécessaires à l’intervention sont listés </w:t>
            </w:r>
            <w:r/>
          </w:p>
          <w:p>
            <w:pPr>
              <w:pStyle w:val="68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Les mesures de prévention de santé et sécurité au travail sont adaptées </w:t>
            </w:r>
            <w:r/>
          </w:p>
          <w:p>
            <w:pPr>
              <w:pStyle w:val="68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-Les habilitations et certifications nécessaires sont identifiées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246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S6.2 les opérations d’exploitation, de mise en service et de maintenance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  <w:lang w:bidi="fr-FR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S7.3 La santé et la sécurité au travail</w:t>
            </w:r>
            <w:r/>
          </w:p>
        </w:tc>
      </w:tr>
    </w:tbl>
    <w:p>
      <w:r>
        <w:br w:type="page"/>
      </w:r>
      <w:r/>
    </w:p>
    <w:tbl>
      <w:tblPr>
        <w:tblStyle w:val="680"/>
        <w:tblW w:w="10773" w:type="dxa"/>
        <w:tblInd w:w="15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10773"/>
      </w:tblGrid>
      <w:tr>
        <w:trPr>
          <w:trHeight w:val="305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pageBreakBefore/>
              <w:rPr>
                <w:rFonts w:ascii="Calibri" w:hAnsi="Calibri" w:cs="Calibri" w:eastAsia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Prérequis des élèves</w:t>
            </w:r>
            <w:r/>
          </w:p>
        </w:tc>
      </w:tr>
      <w:tr>
        <w:trPr>
          <w:trHeight w:val="649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Initiation à l’utilisation d’une maquette numérique</w:t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Connaissance du projet</w:t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Cours sur les équipements sanitaires</w:t>
            </w:r>
            <w:r/>
          </w:p>
          <w:p>
            <w:pPr>
              <w:jc w:val="center"/>
              <w:rPr>
                <w:rFonts w:ascii="Arial" w:hAnsi="Arial" w:cs="Arial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Outillage, matériels et matériaux</w:t>
            </w:r>
            <w:r/>
          </w:p>
        </w:tc>
      </w:tr>
    </w:tbl>
    <w:p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</w:r>
      <w:r/>
    </w:p>
    <w:tbl>
      <w:tblPr>
        <w:tblStyle w:val="680"/>
        <w:tblW w:w="10773" w:type="dxa"/>
        <w:tblInd w:w="15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5103"/>
        <w:gridCol w:w="5670"/>
      </w:tblGrid>
      <w:tr>
        <w:trPr>
          <w:trHeight w:val="410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0772" w:type="dxa"/>
            <w:vAlign w:val="center"/>
            <w:textDirection w:val="lrTb"/>
            <w:noWrap w:val="false"/>
          </w:tcPr>
          <w:p>
            <w:pPr>
              <w:ind w:left="360"/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Présentation du contexte professionnel</w:t>
            </w:r>
            <w:r/>
          </w:p>
        </w:tc>
      </w:tr>
      <w:tr>
        <w:trPr>
          <w:trHeight w:val="520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2" w:type="dxa"/>
            <w:vAlign w:val="center"/>
            <w:textDirection w:val="lrTb"/>
            <w:noWrap w:val="false"/>
          </w:tcPr>
          <w:p>
            <w:pPr>
              <w:pStyle w:val="600"/>
              <w:numPr>
                <w:ilvl w:val="0"/>
                <w:numId w:val="2"/>
              </w:numPr>
              <w:ind w:left="283"/>
              <w:spacing w:after="40"/>
              <w:tabs>
                <w:tab w:val="left" w:pos="0" w:leader="none"/>
              </w:tabs>
              <w:rPr>
                <w:rFonts w:ascii="Calibri" w:hAnsi="Calibri" w:cs="Calibri" w:eastAsia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false"/>
                <w:bCs/>
                <w:iCs/>
                <w:color w:val="000000"/>
                <w:sz w:val="22"/>
                <w:szCs w:val="22"/>
              </w:rPr>
              <w:t xml:space="preserve">Vous avez été mandaté par votre entreprise pour préparer la maintenance et la mise en service de la centrale de traitement </w:t>
            </w:r>
            <w:r>
              <w:rPr>
                <w:rFonts w:ascii="Calibri" w:hAnsi="Calibri" w:cs="Calibri" w:eastAsia="Calibri"/>
                <w:b w:val="false"/>
                <w:bCs/>
                <w:iCs/>
                <w:color w:val="000000"/>
                <w:sz w:val="22"/>
                <w:szCs w:val="22"/>
              </w:rPr>
              <w:t xml:space="preserve">d’air au</w:t>
            </w:r>
            <w:r>
              <w:rPr>
                <w:rFonts w:ascii="Calibri" w:hAnsi="Calibri" w:cs="Calibri" w:eastAsia="Calibri"/>
                <w:b w:val="false"/>
                <w:bCs/>
                <w:iCs/>
                <w:color w:val="000000"/>
                <w:sz w:val="22"/>
                <w:szCs w:val="22"/>
              </w:rPr>
              <w:t xml:space="preserve"> groupe scolaire TILLON.</w:t>
            </w:r>
            <w:r/>
          </w:p>
        </w:tc>
      </w:tr>
      <w:tr>
        <w:trPr>
          <w:trHeight w:val="296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Éléments à retenir</w:t>
            </w:r>
            <w:r/>
          </w:p>
        </w:tc>
      </w:tr>
      <w:tr>
        <w:trPr>
          <w:trHeight w:val="580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2" w:type="dxa"/>
            <w:textDirection w:val="lrTb"/>
            <w:noWrap w:val="false"/>
          </w:tcPr>
          <w:p>
            <w:pPr>
              <w:jc w:val="center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  <w:u w:val="single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  <w:u w:val="single"/>
              </w:rPr>
              <w:t xml:space="preserve">A l’issue de la séquence, l’élève sera capable de :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Collecter des données techniques en utilisant une maquette BIM et un CCTP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Planifier une intervention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Repérer des contraintes techniques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Identifier les matériels et outillages nécessaires à son intervention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Organiser son poste de travail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Sécuriser son poste de travail</w:t>
            </w:r>
            <w:r/>
          </w:p>
        </w:tc>
      </w:tr>
      <w:tr>
        <w:trPr>
          <w:trHeight w:val="440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W w:w="51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Liens avec les autres disciplines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56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Modalités d’évaluation</w:t>
            </w:r>
            <w:r/>
          </w:p>
        </w:tc>
      </w:tr>
      <w:tr>
        <w:trPr>
          <w:trHeight w:val="59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W w:w="51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Maths sciences</w:t>
            </w:r>
            <w:r/>
          </w:p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Prévention Santé Environnement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5669" w:type="dxa"/>
            <w:textDirection w:val="lrTb"/>
            <w:noWrap w:val="false"/>
          </w:tcPr>
          <w:p>
            <w:pPr>
              <w:jc w:val="both"/>
              <w:rPr>
                <w:rFonts w:ascii="Arial" w:hAnsi="Arial" w:cs="Arial" w:eastAsia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Calibri"/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Évaluation formative</w:t>
            </w:r>
            <w:r/>
          </w:p>
        </w:tc>
      </w:tr>
    </w:tbl>
    <w:p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</w:r>
      <w:r/>
    </w:p>
    <w:tbl>
      <w:tblPr>
        <w:tblStyle w:val="680"/>
        <w:tblW w:w="10773" w:type="dxa"/>
        <w:tblInd w:w="15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2409"/>
        <w:gridCol w:w="1701"/>
        <w:gridCol w:w="1702"/>
        <w:gridCol w:w="2125"/>
        <w:gridCol w:w="2836"/>
      </w:tblGrid>
      <w:tr>
        <w:trPr>
          <w:trHeight w:val="389"/>
        </w:trPr>
        <w:tc>
          <w:tcPr>
            <w:gridSpan w:val="5"/>
            <w:shd w:val="clear" w:color="auto" w:fill="FFFFCC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Déroulement de la séquence 1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Questionnement pour mettre en réflexion les élèves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Démarche pédagogique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Activités élèves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Ressources – Matériels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Conclusion - Bilan</w:t>
            </w:r>
            <w:r/>
          </w:p>
        </w:tc>
      </w:tr>
      <w:tr>
        <w:trPr>
          <w:trHeight w:val="1778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Ou se situe la centrale de traitement d'air du groupe scolaire TILLON 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93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Méthode active ou de découverte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Rechercher sur la maquette numérique l’emplacement de la centrale de traitement d’air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Maquette numérique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Le lieu d’implantation de la centrale de traitement d’air est identifié</w:t>
            </w:r>
            <w:r/>
          </w:p>
        </w:tc>
      </w:tr>
      <w:tr>
        <w:trPr>
          <w:trHeight w:val="2784"/>
        </w:trPr>
        <w:tc>
          <w:tcPr>
            <w:gridSpan w:val="5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10773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</w: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object w:dxaOrig="1440" w:dyaOrig="144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" o:spid="_x0000_s2" type="#_x0000_t75" style="position:absolute;mso-wrap-distance-left:9.0pt;mso-wrap-distance-top:0.0pt;mso-wrap-distance-right:9.0pt;mso-wrap-distance-bottom:0.0pt;z-index:251659264;o:allowoverlap:true;o:allowincell:true;mso-position-horizontal-relative:text;margin-left:1.4pt;mso-position-horizontal:absolute;mso-position-vertical-relative:text;margin-top:1.2pt;mso-position-vertical:absolute;width:204.0pt;height:137.2pt;" filled="f" stroked="f">
                  <v:path textboxrect="0,0,0,0"/>
                  <v:imagedata r:id="rId10" o:title=""/>
                </v:shape>
                <o:OLEObject DrawAspect="Content" r:id="rId11" ObjectID="_1525042" ProgID="PBrush" ShapeID="_x0000_i2" Type="Embed"/>
              </w:object>
            </w:r>
            <w:r/>
          </w:p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</w:r>
            <w:r/>
          </w:p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</w:r>
            <w:r/>
          </w:p>
        </w:tc>
      </w:tr>
      <w:tr>
        <w:trPr>
          <w:trHeight w:val="1778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Quelles sont les données et informations nécessaires pour réaliser l’intervention ? </w:t>
            </w:r>
            <w:r/>
          </w:p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93"/>
              <w:rPr>
                <w:rFonts w:ascii="Arial" w:hAnsi="Arial" w:cs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Méthode active ou de découverte.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Rechercher dans le CCTP les caractéristiques de la centrale de traitement d’air à entretenir</w:t>
            </w:r>
            <w:r/>
          </w:p>
          <w:p>
            <w:pPr>
              <w:ind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Rechercher sur la maquette numérique l’emplacement de la centrale de traitement d’air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CCTP</w:t>
            </w:r>
            <w:r/>
          </w:p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Maquette numérique</w:t>
            </w:r>
            <w:r/>
          </w:p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r>
            <w:r/>
          </w:p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Les caractéristiques de la centrale de traitement d’air sont identifiées</w:t>
            </w:r>
            <w:r/>
          </w:p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Le lieu d’implantation est identifié</w:t>
            </w:r>
            <w:r/>
          </w:p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r>
            <w:r/>
          </w:p>
        </w:tc>
      </w:tr>
      <w:tr>
        <w:trPr>
          <w:trHeight w:val="151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Quels sont les paramètres à prendre en compte pour planifier l’intervention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65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Méthode active ou de découverte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Identifier les interactions avec les autres intervenants</w:t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Identifier les contraintes techniques</w:t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</w:r>
            <w:r/>
          </w:p>
          <w:p>
            <w:pPr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  <w:p>
            <w:pPr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CCTP</w:t>
            </w:r>
            <w:r/>
          </w:p>
          <w:p>
            <w:pPr>
              <w:ind w:left="132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Planning </w:t>
            </w:r>
            <w:r/>
          </w:p>
          <w:p>
            <w:pPr>
              <w:ind w:left="132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L’intervention est planifiée en tenant compte des autres intervenants</w:t>
            </w:r>
            <w:r/>
          </w:p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Les contraintes techniques sont repérées et inventoriées</w:t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r>
            <w:r/>
          </w:p>
        </w:tc>
      </w:tr>
      <w:tr>
        <w:trPr>
          <w:trHeight w:val="151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Quels sont les consignes et les sécurités pour le fonctionnement de l'installation 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65"/>
              <w:rPr>
                <w:rFonts w:ascii="Arial" w:hAnsi="Arial" w:cs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Méthode active ou de découverte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Rechercher les caractéristiques de la centrale de traitement d’air</w:t>
            </w:r>
            <w:r/>
          </w:p>
          <w:p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</w:r>
            <w:r/>
          </w:p>
          <w:p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Comparer les consignes et sécurités pour le fonctionnement de la centrale de traitement d’air prévu dans le CCTP </w:t>
            </w:r>
            <w:r/>
          </w:p>
          <w:p>
            <w:pPr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</w:r>
            <w:r/>
          </w:p>
          <w:p>
            <w:pPr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Documentation fabricant.</w:t>
            </w:r>
            <w:r/>
          </w:p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r>
            <w:r/>
          </w:p>
          <w:p>
            <w:pPr>
              <w:ind w:left="132"/>
              <w:rPr>
                <w:rFonts w:ascii="Arial" w:hAnsi="Arial" w:cs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  <w:highlight w:val="yellow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Les relevés permettent la </w:t>
            </w: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validation du</w:t>
            </w: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 fonctionnement de la centrale de traitement d’air</w:t>
            </w:r>
            <w:r/>
          </w:p>
        </w:tc>
      </w:tr>
      <w:tr>
        <w:trPr>
          <w:trHeight w:val="151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Quels outillages seront nécessaires pour faire l'entretien préventif de la centrale de traitement d'air 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Méthode active ou de découverte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Établir la liste de l’outillage</w:t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Notices techniques</w:t>
            </w:r>
            <w:r/>
          </w:p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Les outils nécessaires seront choisis en tenant compte des contraintes</w:t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Les équipements de levage sont identifiés</w:t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r>
            <w:r/>
          </w:p>
        </w:tc>
      </w:tr>
      <w:tr>
        <w:trPr>
          <w:trHeight w:val="115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Quels seront les EPI et EPC nécessaires à l’intervention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Méthode affirmative</w:t>
            </w:r>
            <w:r/>
          </w:p>
          <w:p>
            <w:pPr>
              <w:ind w:right="72"/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Établir la liste des EPI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Notices techniques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Les EPI choisis sont en adéquation avec la tâche à réaliser </w:t>
            </w:r>
            <w:r/>
          </w:p>
        </w:tc>
      </w:tr>
      <w:tr>
        <w:trPr>
          <w:trHeight w:val="1151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9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Quelles sont les grandeurs physiques qui interviennent lors de la mise en service de la centrale de traitement d'air 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701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702" w:type="dxa"/>
            <w:vAlign w:val="center"/>
            <w:textDirection w:val="lrTb"/>
            <w:noWrap w:val="false"/>
          </w:tcPr>
          <w:p>
            <w:pPr>
              <w:ind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Déterminer les grandeurs physiques qui interviennent lors de la mise en service du chauffe-eau électrique (température, pression, intensité …)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125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CCTP</w:t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Maquette numérique</w:t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Notices techniques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36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Les grandeurs physiques sont déterminées, interprétées et associées à des moyens de mesure qui permettront de valider le fonctionnement de l’installation</w:t>
            </w:r>
            <w:r/>
          </w:p>
        </w:tc>
      </w:tr>
    </w:tbl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tbl>
      <w:tblPr>
        <w:tblStyle w:val="680"/>
        <w:tblW w:w="10773" w:type="dxa"/>
        <w:tblInd w:w="57" w:type="dxa"/>
        <w:tblCellMar>
          <w:left w:w="57" w:type="dxa"/>
          <w:right w:w="108" w:type="dxa"/>
        </w:tblCellMar>
        <w:tblLook w:val="0000" w:firstRow="0" w:lastRow="0" w:firstColumn="0" w:lastColumn="0" w:noHBand="0" w:noVBand="0"/>
      </w:tblPr>
      <w:tblGrid>
        <w:gridCol w:w="2267"/>
        <w:gridCol w:w="2410"/>
        <w:gridCol w:w="992"/>
        <w:gridCol w:w="5104"/>
      </w:tblGrid>
      <w:tr>
        <w:trPr>
          <w:trHeight w:val="397"/>
        </w:trPr>
        <w:tc>
          <w:tcPr>
            <w:gridSpan w:val="4"/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spacing w:before="120"/>
              <w:rPr>
                <w:rFonts w:ascii="Calibri" w:hAnsi="Calibri" w:cs="Calibri" w:eastAsia="Calibri"/>
                <w:b/>
                <w:color w:val="00000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36"/>
                <w:szCs w:val="36"/>
              </w:rPr>
              <w:t xml:space="preserve">FICHE PÉDAGOGIQUE DE LA SÉQUENCE n°2</w:t>
            </w:r>
            <w:r/>
          </w:p>
        </w:tc>
      </w:tr>
      <w:tr>
        <w:trPr>
          <w:trHeight w:val="1092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W w:w="4677" w:type="dxa"/>
            <w:vMerge w:val="restart"/>
            <w:textDirection w:val="lrTb"/>
            <w:noWrap w:val="false"/>
          </w:tcPr>
          <w:p>
            <w:pPr>
              <w:jc w:val="center"/>
              <w:spacing w:lineRule="auto" w:line="360"/>
              <w:rPr>
                <w:rFonts w:ascii="Arial" w:hAnsi="Arial" w:cs="Arial" w:eastAsia="Calibri"/>
                <w:b/>
                <w:i/>
                <w:color w:val="FF99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86050" cy="1704975"/>
                      <wp:effectExtent l="0" t="0" r="0" b="9525"/>
                      <wp:docPr id="4" name="Image 2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index.jpe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86050" cy="1704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mso-wrap-distance-left:0.0pt;mso-wrap-distance-top:0.0pt;mso-wrap-distance-right:0.0pt;mso-wrap-distance-bottom:0.0pt;width:211.5pt;height:134.2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  <w:r/>
          </w:p>
        </w:tc>
        <w:tc>
          <w:tcPr>
            <w:gridSpan w:val="2"/>
            <w:shd w:val="clear" w:color="auto" w:fill="C2D69B" w:themeFill="accent3" w:themeFillTint="99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609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keepNext/>
              <w:spacing w:after="40"/>
              <w:tabs>
                <w:tab w:val="left" w:pos="0" w:leader="none"/>
              </w:tabs>
              <w:rPr>
                <w:rFonts w:ascii="Calibri" w:hAnsi="Calibri" w:cs="Calibri" w:eastAsia="Calibri"/>
                <w:b/>
                <w:i/>
                <w:color w:val="000000"/>
                <w:sz w:val="18"/>
                <w:szCs w:val="18"/>
              </w:rPr>
              <w:outlineLvl w:val="0"/>
            </w:pPr>
            <w:r>
              <w:rPr>
                <w:rFonts w:ascii="Calibri" w:hAnsi="Calibri" w:cs="Calibri" w:eastAsia="Calibri"/>
                <w:b/>
                <w:i/>
                <w:color w:val="000000"/>
                <w:sz w:val="18"/>
                <w:szCs w:val="18"/>
              </w:rPr>
              <w:t xml:space="preserve">Problématique</w:t>
            </w:r>
            <w:r/>
          </w:p>
          <w:p>
            <w:pPr>
              <w:ind w:left="-107" w:right="141"/>
              <w:jc w:val="center"/>
              <w:keepLines/>
              <w:keepNext/>
              <w:spacing w:after="200" w:before="320"/>
              <w:rPr>
                <w:rFonts w:ascii="Calibri" w:hAnsi="Calibri"/>
                <w:b/>
                <w:bCs/>
                <w:color w:val="F79646"/>
              </w:rPr>
              <w:outlineLvl w:val="7"/>
            </w:pPr>
            <w:r>
              <w:rPr>
                <w:rFonts w:ascii="Calibri" w:hAnsi="Calibri" w:cs="Calibri" w:eastAsia="Arial"/>
                <w:i/>
                <w:iCs/>
                <w:color w:val="001F5F"/>
                <w:sz w:val="22"/>
                <w:szCs w:val="22"/>
              </w:rPr>
              <w:t xml:space="preserve">Comment réaliser une installation ?</w:t>
            </w:r>
            <w:r/>
          </w:p>
        </w:tc>
      </w:tr>
      <w:tr>
        <w:trPr>
          <w:trHeight w:val="1383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4677" w:type="dxa"/>
            <w:vMerge w:val="continue"/>
            <w:textDirection w:val="lrTb"/>
            <w:noWrap w:val="false"/>
          </w:tcPr>
          <w:p>
            <w:pPr>
              <w:spacing w:lineRule="auto" w:line="276"/>
              <w:widowControl w:val="off"/>
            </w:pPr>
            <w:r/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6096" w:type="dxa"/>
            <w:vAlign w:val="center"/>
            <w:textDirection w:val="lrTb"/>
            <w:noWrap w:val="false"/>
          </w:tcPr>
          <w:p>
            <w:pPr>
              <w:pStyle w:val="600"/>
              <w:numPr>
                <w:ilvl w:val="0"/>
                <w:numId w:val="3"/>
              </w:numPr>
              <w:jc w:val="center"/>
              <w:spacing w:after="40" w:before="40"/>
              <w:tabs>
                <w:tab w:val="left" w:pos="0" w:leader="none"/>
              </w:tabs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  <w:t xml:space="preserve">Positionnement sur la classe de terminale</w:t>
            </w:r>
            <w:r/>
          </w:p>
          <w:p>
            <w:pPr>
              <w:pStyle w:val="600"/>
              <w:numPr>
                <w:ilvl w:val="0"/>
                <w:numId w:val="3"/>
              </w:numPr>
              <w:ind w:left="387"/>
              <w:jc w:val="center"/>
              <w:spacing w:after="40" w:before="40"/>
              <w:tabs>
                <w:tab w:val="left" w:pos="387" w:leader="none"/>
              </w:tabs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  <w:t xml:space="preserve">Début d’année                                                                               Fin d’année</w:t>
            </w:r>
            <w:r/>
          </w:p>
          <w:tbl>
            <w:tblPr>
              <w:tblStyle w:val="681"/>
              <w:tblW w:w="5295" w:type="dxa"/>
              <w:tblInd w:w="553" w:type="dxa"/>
              <w:tblCellMar>
                <w:right w:w="0" w:type="dxa"/>
              </w:tblCellMar>
              <w:tblLook w:val="0400" w:firstRow="0" w:lastRow="0" w:firstColumn="0" w:lastColumn="0" w:noHBand="0" w:noVBand="1"/>
            </w:tblPr>
            <w:tblGrid>
              <w:gridCol w:w="435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>
              <w:trPr/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435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00B050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00B050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FFFFFF" w:themeFill="background1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8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</w:tr>
          </w:tbl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</w:tr>
      <w:tr>
        <w:trPr>
          <w:trHeight w:val="320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Compétences visées</w:t>
            </w:r>
            <w:r/>
          </w:p>
        </w:tc>
        <w:tc>
          <w:tcPr>
            <w:gridSpan w:val="2"/>
            <w:shd w:val="clear" w:color="auto" w:fill="B7DDE8"/>
            <w:tcBorders>
              <w:left w:val="single" w:color="000001" w:sz="6" w:space="0"/>
              <w:top w:val="single" w:color="000001" w:sz="12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color w:val="00000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Critères d’évaluation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Savoirs associés</w:t>
            </w:r>
            <w:r/>
          </w:p>
        </w:tc>
      </w:tr>
      <w:tr>
        <w:trPr>
          <w:trHeight w:val="1243"/>
        </w:trPr>
        <w:tc>
          <w:tcPr>
            <w:shd w:val="clear" w:color="auto" w:fill="C2D69B" w:themeFill="accent3" w:themeFillTint="99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Arial"/>
                <w:bCs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C4.1: Organiser son poste de travail en assurant la sécurité de tous les intervenants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8"/>
              </w:numPr>
              <w:ind w:left="104" w:right="187" w:hanging="143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  <w:t xml:space="preserve">Les </w:t>
            </w:r>
            <w:r>
              <w:rPr>
                <w:rFonts w:ascii="Arial" w:hAnsi="Arial" w:cs="Arial" w:eastAsia="Arial"/>
                <w:sz w:val="18"/>
                <w:szCs w:val="20"/>
              </w:rPr>
              <w:t xml:space="preserve">risques</w:t>
            </w:r>
            <w:r>
              <w:rPr>
                <w:rFonts w:ascii="Arial" w:hAnsi="Arial" w:cs="Arial" w:eastAsia="Arial"/>
                <w:sz w:val="18"/>
                <w:szCs w:val="20"/>
              </w:rPr>
              <w:t xml:space="preserve"> propres à l’intervention sont analysés </w:t>
            </w:r>
            <w:r/>
          </w:p>
          <w:p>
            <w:pPr>
              <w:pStyle w:val="635"/>
              <w:ind w:left="104"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</w:r>
            <w:r/>
          </w:p>
          <w:p>
            <w:pPr>
              <w:pStyle w:val="635"/>
              <w:numPr>
                <w:ilvl w:val="0"/>
                <w:numId w:val="8"/>
              </w:numPr>
              <w:ind w:left="247" w:right="187" w:hanging="143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  <w:t xml:space="preserve">Les </w:t>
            </w:r>
            <w:r>
              <w:rPr>
                <w:rFonts w:ascii="Arial" w:hAnsi="Arial" w:cs="Arial" w:eastAsia="Arial"/>
                <w:sz w:val="18"/>
                <w:szCs w:val="20"/>
              </w:rPr>
              <w:t xml:space="preserve">mesures de prévention sont adaptées aux risques identifiés </w:t>
            </w:r>
            <w:r/>
          </w:p>
          <w:p>
            <w:pPr>
              <w:ind w:left="247" w:right="187" w:hanging="143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</w:r>
            <w:r/>
          </w:p>
          <w:p>
            <w:pPr>
              <w:pStyle w:val="635"/>
              <w:numPr>
                <w:ilvl w:val="0"/>
                <w:numId w:val="8"/>
              </w:numPr>
              <w:ind w:left="247" w:right="187" w:hanging="143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  <w:t xml:space="preserve">Le </w:t>
            </w:r>
            <w:r>
              <w:rPr>
                <w:rFonts w:ascii="Arial" w:hAnsi="Arial" w:cs="Arial" w:eastAsia="Arial"/>
                <w:sz w:val="18"/>
                <w:szCs w:val="20"/>
              </w:rPr>
              <w:t xml:space="preserve">mode d’approvisionnement du poste de travail est déterminé </w:t>
            </w:r>
            <w:r/>
          </w:p>
          <w:p>
            <w:pPr>
              <w:ind w:left="247" w:right="187" w:hanging="143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</w:r>
            <w:r/>
          </w:p>
          <w:p>
            <w:pPr>
              <w:pStyle w:val="635"/>
              <w:numPr>
                <w:ilvl w:val="0"/>
                <w:numId w:val="8"/>
              </w:numPr>
              <w:ind w:left="247" w:right="187" w:hanging="143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  <w:t xml:space="preserve">Le lieu d’activité est restitué quotidiennement </w:t>
            </w:r>
            <w:r>
              <w:rPr>
                <w:rFonts w:ascii="Arial" w:hAnsi="Arial" w:cs="Arial" w:eastAsia="Arial"/>
                <w:sz w:val="18"/>
                <w:szCs w:val="20"/>
              </w:rPr>
              <w:t xml:space="preserve">pour garantir la sécurité des intervenants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  <w:t xml:space="preserve">S1.5 Les qualifications, garanties et responsabilités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  <w:t xml:space="preserve">S2.8 L’impact sur les bâtiments existants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S6.2 les opérations d’exploitation, de mise en service et de maintenance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S7.3 La santé et la sécurité au travail</w:t>
            </w:r>
            <w:r/>
          </w:p>
        </w:tc>
      </w:tr>
      <w:tr>
        <w:trPr>
          <w:trHeight w:val="1243"/>
        </w:trPr>
        <w:tc>
          <w:tcPr>
            <w:shd w:val="clear" w:color="auto" w:fill="C2D69B" w:themeFill="accent3" w:themeFillTint="99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Arial"/>
                <w:bCs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C6.1 : Opérer avec une attitude écoresponsable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8"/>
              </w:numPr>
              <w:ind w:left="247" w:right="187" w:hanging="143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  <w:t xml:space="preserve">Les </w:t>
            </w:r>
            <w:r>
              <w:rPr>
                <w:rFonts w:ascii="Arial" w:hAnsi="Arial" w:cs="Arial" w:eastAsia="Arial"/>
                <w:sz w:val="18"/>
                <w:szCs w:val="20"/>
              </w:rPr>
              <w:t xml:space="preserve">déchets sont triés et évacués de manière sélective conformément à la réglementation et aux normes en vigueur </w:t>
            </w:r>
            <w:r/>
          </w:p>
          <w:p>
            <w:pPr>
              <w:pStyle w:val="635"/>
              <w:numPr>
                <w:ilvl w:val="0"/>
                <w:numId w:val="8"/>
              </w:numPr>
              <w:ind w:left="247" w:right="187" w:hanging="143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  <w:t xml:space="preserve">Les </w:t>
            </w:r>
            <w:r>
              <w:rPr>
                <w:rFonts w:ascii="Arial" w:hAnsi="Arial" w:cs="Arial" w:eastAsia="Arial"/>
                <w:sz w:val="18"/>
                <w:szCs w:val="20"/>
              </w:rPr>
              <w:t xml:space="preserve">consommables sont utilisés sans gaspillage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  <w:t xml:space="preserve">S2.8 L’impact sur les bâtiments existants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  <w:t xml:space="preserve">S7.1 Le processus qualité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S7.3 La santé et la sécurité au travail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</w:rPr>
            </w:r>
            <w:r/>
          </w:p>
        </w:tc>
      </w:tr>
      <w:tr>
        <w:trPr>
          <w:trHeight w:val="1243"/>
        </w:trPr>
        <w:tc>
          <w:tcPr>
            <w:shd w:val="clear" w:color="auto" w:fill="C2D69B" w:themeFill="accent3" w:themeFillTint="99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Arial"/>
                <w:bCs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C7.2 : Appliquer les mesures de prévention des risques professionnels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8"/>
              </w:numPr>
              <w:ind w:left="247" w:right="187" w:hanging="143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  <w:t xml:space="preserve">Les </w:t>
            </w:r>
            <w:r>
              <w:rPr>
                <w:rFonts w:ascii="Arial" w:hAnsi="Arial" w:cs="Arial" w:eastAsia="Arial"/>
                <w:sz w:val="18"/>
                <w:szCs w:val="20"/>
              </w:rPr>
              <w:t xml:space="preserve">mesures</w:t>
            </w:r>
            <w:r>
              <w:rPr>
                <w:rFonts w:ascii="Arial" w:hAnsi="Arial" w:cs="Arial" w:eastAsia="Arial"/>
                <w:sz w:val="18"/>
                <w:szCs w:val="20"/>
              </w:rPr>
              <w:t xml:space="preserve"> de prévention sont adaptées au contexte de l’intervention </w:t>
            </w:r>
            <w:r/>
          </w:p>
          <w:p>
            <w:pPr>
              <w:pStyle w:val="635"/>
              <w:numPr>
                <w:ilvl w:val="0"/>
                <w:numId w:val="8"/>
              </w:numPr>
              <w:ind w:left="247" w:right="187" w:hanging="143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  <w:t xml:space="preserve">Les </w:t>
            </w:r>
            <w:r>
              <w:rPr>
                <w:rFonts w:ascii="Arial" w:hAnsi="Arial" w:cs="Arial" w:eastAsia="Arial"/>
                <w:sz w:val="18"/>
                <w:szCs w:val="20"/>
              </w:rPr>
              <w:t xml:space="preserve">anomalies sont signalées à la hiérarchie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  <w:t xml:space="preserve">S1.5 Les qualifications, garanties et responsabilités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S7.3 La santé et la sécurité au travail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</w:rPr>
            </w:r>
            <w:r/>
          </w:p>
        </w:tc>
      </w:tr>
      <w:tr>
        <w:trPr>
          <w:trHeight w:val="1478"/>
        </w:trPr>
        <w:tc>
          <w:tcPr>
            <w:shd w:val="clear" w:color="auto" w:fill="C2D69B" w:themeFill="accent3" w:themeFillTint="99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C7.3 : Réaliser les modes opératoires des essais normatifs nécessaires à la mise en service des installations thermiques, fluidiques et électriques 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et la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 manipulation des fluides frigorigènes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9"/>
              </w:numPr>
              <w:ind w:left="242" w:right="187" w:hanging="142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Les </w:t>
            </w:r>
            <w:r>
              <w:rPr>
                <w:rFonts w:ascii="Arial" w:hAnsi="Arial" w:cs="Arial" w:eastAsia="Arial"/>
                <w:sz w:val="18"/>
                <w:szCs w:val="20"/>
              </w:rPr>
              <w:t xml:space="preserve">modes opératoires sont réalisés et conformes aux règles en vigueur 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S3.1 L’analyse fonctionnelle et structurelle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S4.2 Les circuits thermodynamiques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S4.3 Les installations et équipements électriques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S4.4 Les réseaux hydrauliques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S4.5 Les réseaux aérauliques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S6.2 les opérations d’exploitation, de mise en service et de maintenance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</w:r>
            <w:r/>
          </w:p>
        </w:tc>
      </w:tr>
      <w:tr>
        <w:trPr>
          <w:trHeight w:val="1478"/>
        </w:trPr>
        <w:tc>
          <w:tcPr>
            <w:shd w:val="clear" w:color="auto" w:fill="C2D69B" w:themeFill="accent3" w:themeFillTint="99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C7.4 : Prérégler les appareils de régulation et de sécurité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9"/>
              </w:numPr>
              <w:ind w:left="242" w:right="187" w:hanging="142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Les </w:t>
            </w:r>
            <w:r>
              <w:rPr>
                <w:rFonts w:ascii="Arial" w:hAnsi="Arial" w:cs="Arial" w:eastAsia="Arial"/>
                <w:sz w:val="18"/>
                <w:szCs w:val="20"/>
              </w:rPr>
              <w:t xml:space="preserve">préréglages sont réalisés dans le respect des normes et la réglementation en vigueur </w:t>
            </w:r>
            <w:r/>
          </w:p>
          <w:p>
            <w:pPr>
              <w:pStyle w:val="635"/>
              <w:numPr>
                <w:ilvl w:val="0"/>
                <w:numId w:val="9"/>
              </w:numPr>
              <w:ind w:left="242" w:right="187" w:hanging="142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Les</w:t>
            </w:r>
            <w:r>
              <w:rPr>
                <w:rFonts w:ascii="Arial" w:hAnsi="Arial" w:cs="Arial" w:eastAsia="Arial"/>
                <w:sz w:val="18"/>
                <w:szCs w:val="20"/>
              </w:rPr>
              <w:t xml:space="preserve"> préréglages permettent une mise en service de toute ou partie de l’installation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S4.2 Les circuits thermodynamiques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S4.3 Les installations et équipements électriques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S4.4 Les réseaux hydrauliques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S4.5 Les réseaux aérauliques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S6.2 les opérations d’exploitation, de mise en service et de maintenance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</w:r>
            <w:r/>
          </w:p>
        </w:tc>
      </w:tr>
      <w:tr>
        <w:trPr>
          <w:trHeight w:val="1478"/>
        </w:trPr>
        <w:tc>
          <w:tcPr>
            <w:shd w:val="clear" w:color="auto" w:fill="C2D69B" w:themeFill="accent3" w:themeFillTint="99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C7.6 : Réaliser les opérations de mise en service et/ou d’arrêt de l’installation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9"/>
              </w:numPr>
              <w:ind w:left="242" w:right="187" w:hanging="142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Les consignations sont réalisées</w:t>
            </w:r>
            <w:r/>
          </w:p>
          <w:p>
            <w:pPr>
              <w:pStyle w:val="635"/>
              <w:numPr>
                <w:ilvl w:val="0"/>
                <w:numId w:val="9"/>
              </w:numPr>
              <w:ind w:left="242" w:right="187" w:hanging="142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Les protocoles de mise en service sont respectés</w:t>
            </w:r>
            <w:r/>
          </w:p>
          <w:p>
            <w:pPr>
              <w:pStyle w:val="635"/>
              <w:ind w:left="242"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  <w:t xml:space="preserve">S1.5 Les qualifications, garanties et responsabilités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S4.3 Les installations et équipements électriques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S6.2 les opérations d’exploitation, de mise en service et de maintenance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S7.3 La santé et la sécurité au travail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</w:rPr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</w:r>
            <w:r/>
          </w:p>
        </w:tc>
      </w:tr>
      <w:tr>
        <w:trPr>
          <w:trHeight w:val="1478"/>
        </w:trPr>
        <w:tc>
          <w:tcPr>
            <w:shd w:val="clear" w:color="auto" w:fill="C2D69B" w:themeFill="accent3" w:themeFillTint="99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C8.1 : identifier les points de mesures sur l’installation électrique et/ou le réseau fluidique</w:t>
            </w:r>
            <w:r/>
          </w:p>
        </w:tc>
        <w:tc>
          <w:tcPr>
            <w:gridSpan w:val="2"/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9"/>
              </w:numPr>
              <w:ind w:left="242" w:right="187" w:hanging="142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Les </w:t>
            </w:r>
            <w:r>
              <w:rPr>
                <w:rFonts w:ascii="Arial" w:hAnsi="Arial" w:cs="Arial" w:eastAsia="Arial"/>
                <w:sz w:val="18"/>
                <w:szCs w:val="20"/>
              </w:rPr>
              <w:t xml:space="preserve">procédés de mesurages identifiés respectent les normes en vigueur et les règles de l’art </w:t>
            </w:r>
            <w:r/>
          </w:p>
          <w:p>
            <w:pPr>
              <w:ind w:left="242" w:right="187" w:hanging="142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</w:rPr>
            </w:r>
            <w:r/>
          </w:p>
          <w:p>
            <w:pPr>
              <w:pStyle w:val="635"/>
              <w:numPr>
                <w:ilvl w:val="0"/>
                <w:numId w:val="9"/>
              </w:numPr>
              <w:ind w:left="242" w:right="187" w:hanging="142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Les </w:t>
            </w:r>
            <w:r>
              <w:rPr>
                <w:rFonts w:ascii="Arial" w:hAnsi="Arial" w:cs="Arial" w:eastAsia="Arial"/>
                <w:sz w:val="18"/>
                <w:szCs w:val="20"/>
              </w:rPr>
              <w:t xml:space="preserve">points de mesures identifiés sont conformes au besoin du contrôle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S4.2 Les circuits thermodynamiques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S4.3 Les installations et équipements électriques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S4.4 Les réseaux hydrauliques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S4.5 Les réseaux aérauliques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S6.2 les opérations d’exploitation, de mise en service et de maintenance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S7.3 La santé et la sécurité au travail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</w:r>
            <w:r/>
          </w:p>
        </w:tc>
      </w:tr>
    </w:tbl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tbl>
      <w:tblPr>
        <w:tblStyle w:val="680"/>
        <w:tblW w:w="11076" w:type="dxa"/>
        <w:tblInd w:w="-34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11076"/>
      </w:tblGrid>
      <w:tr>
        <w:trPr>
          <w:trHeight w:val="305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1076" w:type="dxa"/>
            <w:vAlign w:val="center"/>
            <w:textDirection w:val="lrTb"/>
            <w:noWrap w:val="false"/>
          </w:tcPr>
          <w:p>
            <w:pPr>
              <w:jc w:val="center"/>
              <w:pageBreakBefore/>
              <w:rPr>
                <w:rFonts w:ascii="Calibri" w:hAnsi="Calibri" w:cs="Calibri" w:eastAsia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Prérequis des élèves</w:t>
            </w:r>
            <w:r/>
          </w:p>
        </w:tc>
      </w:tr>
      <w:tr>
        <w:trPr>
          <w:trHeight w:val="649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W w:w="110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 Connaissance du projet</w:t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Préparation de la réalisation</w:t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Outillage, matériels et matériaux</w:t>
            </w:r>
            <w:r/>
          </w:p>
          <w:p>
            <w:pPr>
              <w:jc w:val="center"/>
              <w:rPr>
                <w:rFonts w:ascii="Arial" w:hAnsi="Arial" w:cs="Arial" w:eastAsia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Calibri"/>
                <w:color w:val="000000"/>
                <w:sz w:val="18"/>
                <w:szCs w:val="18"/>
              </w:rPr>
            </w:r>
            <w:r/>
          </w:p>
        </w:tc>
      </w:tr>
    </w:tbl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tbl>
      <w:tblPr>
        <w:tblStyle w:val="680"/>
        <w:tblW w:w="11027" w:type="dxa"/>
        <w:tblInd w:w="15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5103"/>
        <w:gridCol w:w="5924"/>
      </w:tblGrid>
      <w:tr>
        <w:trPr>
          <w:trHeight w:val="410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1027" w:type="dxa"/>
            <w:vAlign w:val="center"/>
            <w:textDirection w:val="lrTb"/>
            <w:noWrap w:val="false"/>
          </w:tcPr>
          <w:p>
            <w:pPr>
              <w:ind w:left="360"/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Présentation du contexte professionnel</w:t>
            </w:r>
            <w:r/>
          </w:p>
        </w:tc>
      </w:tr>
      <w:tr>
        <w:trPr>
          <w:trHeight w:val="520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1027" w:type="dxa"/>
            <w:vAlign w:val="center"/>
            <w:textDirection w:val="lrTb"/>
            <w:noWrap w:val="false"/>
          </w:tcPr>
          <w:p>
            <w:pPr>
              <w:pStyle w:val="600"/>
              <w:numPr>
                <w:ilvl w:val="0"/>
                <w:numId w:val="2"/>
              </w:numPr>
              <w:ind w:left="283"/>
              <w:spacing w:after="40"/>
              <w:tabs>
                <w:tab w:val="left" w:pos="0" w:leader="none"/>
              </w:tabs>
              <w:rPr>
                <w:rFonts w:ascii="Calibri" w:hAnsi="Calibri" w:cs="Calibri" w:eastAsia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false"/>
                <w:bCs/>
                <w:iCs/>
                <w:color w:val="000000"/>
                <w:sz w:val="22"/>
                <w:szCs w:val="22"/>
              </w:rPr>
              <w:t xml:space="preserve">Après avoir préparé votre intervention, vous êtes mandaté par votre entreprise pour faire la mise en service de la centrale de traitement d'air au groupe scolaire TILLON.</w:t>
            </w:r>
            <w:r/>
          </w:p>
        </w:tc>
      </w:tr>
      <w:tr>
        <w:trPr>
          <w:trHeight w:val="296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10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Éléments à retenir</w:t>
            </w:r>
            <w:r/>
          </w:p>
        </w:tc>
      </w:tr>
      <w:tr>
        <w:trPr>
          <w:trHeight w:val="580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1027" w:type="dxa"/>
            <w:textDirection w:val="lrTb"/>
            <w:noWrap w:val="false"/>
          </w:tcPr>
          <w:p>
            <w:pPr>
              <w:jc w:val="center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  <w:u w:val="single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  <w:u w:val="single"/>
              </w:rPr>
              <w:t xml:space="preserve">A l’issue de la séquence, l’élève sera capable de :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Adopter une attitude écoresponsable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Organiser son poste de travail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Organiser une intervention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Procéder à une mise en service</w:t>
            </w:r>
            <w:r/>
          </w:p>
        </w:tc>
      </w:tr>
      <w:tr>
        <w:trPr>
          <w:trHeight w:val="440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W w:w="51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Liens avec les autres disciplines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59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Modalités d’évaluation</w:t>
            </w:r>
            <w:r/>
          </w:p>
        </w:tc>
      </w:tr>
      <w:tr>
        <w:trPr>
          <w:trHeight w:val="48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W w:w="51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Prévention Santé Environnement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5924" w:type="dxa"/>
            <w:textDirection w:val="lrTb"/>
            <w:noWrap w:val="false"/>
          </w:tcPr>
          <w:p>
            <w:pPr>
              <w:jc w:val="both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Évaluation formative</w:t>
            </w:r>
            <w:r/>
          </w:p>
        </w:tc>
      </w:tr>
    </w:tbl>
    <w:p>
      <w:r/>
      <w:r/>
    </w:p>
    <w:tbl>
      <w:tblPr>
        <w:tblStyle w:val="680"/>
        <w:tblW w:w="11027" w:type="dxa"/>
        <w:tblInd w:w="15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70"/>
        <w:gridCol w:w="2575"/>
        <w:gridCol w:w="1588"/>
        <w:gridCol w:w="1672"/>
        <w:gridCol w:w="2224"/>
        <w:gridCol w:w="2898"/>
      </w:tblGrid>
      <w:tr>
        <w:trPr>
          <w:trHeight w:val="389"/>
        </w:trPr>
        <w:tc>
          <w:tcPr>
            <w:gridSpan w:val="6"/>
            <w:shd w:val="clear" w:color="auto" w:fill="C2D69B" w:themeFill="accent3" w:themeFillTint="99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102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Arial" w:hAnsi="Arial" w:cs="Arial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Calibri"/>
                <w:b/>
                <w:color w:val="000000"/>
                <w:sz w:val="18"/>
                <w:szCs w:val="18"/>
              </w:rPr>
              <w:t xml:space="preserve">Déroulement de la séquence 2</w:t>
            </w:r>
            <w:r/>
          </w:p>
        </w:tc>
      </w:tr>
      <w:tr>
        <w:trPr>
          <w:trHeight w:val="500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64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Questionnement pour mettre en réflexion les élèves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58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Démarche pédagogique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67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Activités élèves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22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Ressources – Matériels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Conclusion - Bilan</w:t>
            </w:r>
            <w:r/>
          </w:p>
        </w:tc>
      </w:tr>
      <w:tr>
        <w:trPr>
          <w:trHeight w:val="1151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645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Comment organiser et sécuriser son poste de travail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588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Méthode affirmative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672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Approvisionner le poste de travail</w:t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Sécuriser le poste de travail en tenant compte des contraintes inhérentes à l’intervention</w:t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Prévoir les équipements spécifiques adaptés à l’intervention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224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CCTP</w:t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Maquette numérique</w:t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Notices techniques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98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Le poste de travail sera correctement approvisionné </w:t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Des équipements de levage seront prévus</w:t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Le poste de travail sera sécurisé</w:t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L’installation sera consignée hydrauliquement, électriquement et fluidiquement</w:t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</w:r>
            <w:r/>
          </w:p>
        </w:tc>
      </w:tr>
      <w:tr>
        <w:trPr>
          <w:trHeight w:val="1151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645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Comment organiser méthodiquement l’intervention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588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Méthode affirmative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672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Organiser l’intervention de manière chronologique et méthodique en tenant compte des contraintes techniques et organisationnelles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224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CCTP</w:t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Maquette numérique</w:t>
            </w:r>
            <w:r/>
          </w:p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Notices techniques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98" w:type="dxa"/>
            <w:vAlign w:val="center"/>
            <w:textDirection w:val="lrTb"/>
            <w:noWrap w:val="false"/>
          </w:tcPr>
          <w:p>
            <w:pPr>
              <w:ind w:left="48" w:right="7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Un mode opératoire sera rédigé, il permettra d’organiser le chantier chronologiquement</w:t>
            </w:r>
            <w:r/>
          </w:p>
        </w:tc>
      </w:tr>
      <w:tr>
        <w:trPr>
          <w:trHeight w:val="1778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645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Comment mener mon intervention en ayant une conduite écoresponsable 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588" w:type="dxa"/>
            <w:vAlign w:val="center"/>
            <w:textDirection w:val="lrTb"/>
            <w:noWrap w:val="false"/>
          </w:tcPr>
          <w:p>
            <w:pPr>
              <w:ind w:left="93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Méthode active ou de découverte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672" w:type="dxa"/>
            <w:vAlign w:val="center"/>
            <w:textDirection w:val="lrTb"/>
            <w:noWrap w:val="false"/>
          </w:tcPr>
          <w:p>
            <w:pPr>
              <w:ind w:left="93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Trier et évacuer les déchets générés par son activité</w:t>
            </w:r>
            <w:r/>
          </w:p>
          <w:p>
            <w:pPr>
              <w:ind w:left="93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</w:r>
            <w:r/>
          </w:p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Éviter le gaspillage des matières premières et des énergies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224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Bac de tri des déchets</w:t>
            </w:r>
            <w:r/>
          </w:p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</w:r>
            <w:r/>
          </w:p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Plan de réalisation</w:t>
            </w:r>
            <w:r/>
          </w:p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</w:r>
            <w:r/>
          </w:p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Mode opératoire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98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Les déchets sont triés et évacués de manière sélective conformément à la règlementation et aux normes en vigueur.</w:t>
            </w:r>
            <w:r/>
          </w:p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Les matériaux sont utilisés en évitant le gaspillage. </w:t>
            </w:r>
            <w:r/>
          </w:p>
        </w:tc>
      </w:tr>
      <w:tr>
        <w:trPr>
          <w:gridBefore w:val="1"/>
          <w:trHeight w:val="1778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575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Comment procéder au contrôle de la qualité des réalisations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588" w:type="dxa"/>
            <w:vAlign w:val="center"/>
            <w:textDirection w:val="lrTb"/>
            <w:noWrap w:val="false"/>
          </w:tcPr>
          <w:p>
            <w:pPr>
              <w:ind w:left="93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Méthode active ou de découverte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672" w:type="dxa"/>
            <w:vAlign w:val="center"/>
            <w:textDirection w:val="lrTb"/>
            <w:noWrap w:val="false"/>
          </w:tcPr>
          <w:p>
            <w:pPr>
              <w:ind w:left="93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Etablir la liste des points à contrôler </w:t>
            </w:r>
            <w:r/>
          </w:p>
          <w:p>
            <w:pPr>
              <w:ind w:left="93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</w:r>
            <w:r/>
          </w:p>
          <w:p>
            <w:pPr>
              <w:ind w:left="93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Réaliser les contrôles </w:t>
            </w:r>
            <w:r/>
          </w:p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Effectuer les contrôles associés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224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Centrale de traitement d’air</w:t>
            </w:r>
            <w:r/>
          </w:p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</w:r>
            <w:r/>
          </w:p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Documentation technique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98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Les contrôles permettent de </w:t>
            </w: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vérifier le</w:t>
            </w: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 serrage des connexions électrique, etc. ….</w:t>
            </w:r>
            <w:r/>
          </w:p>
        </w:tc>
      </w:tr>
      <w:tr>
        <w:trPr>
          <w:gridBefore w:val="1"/>
          <w:trHeight w:val="1778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575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/>
            <w:bookmarkStart w:id="2" w:name="_Hlk69664773"/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Comment procéder à la mise en </w:t>
            </w: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service ?</w:t>
            </w: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588" w:type="dxa"/>
            <w:vAlign w:val="center"/>
            <w:textDirection w:val="lrTb"/>
            <w:noWrap w:val="false"/>
          </w:tcPr>
          <w:p>
            <w:pPr>
              <w:ind w:left="93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Méthode active ou de découverte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1672" w:type="dxa"/>
            <w:vAlign w:val="center"/>
            <w:textDirection w:val="lrTb"/>
            <w:noWrap w:val="false"/>
          </w:tcPr>
          <w:p>
            <w:pPr>
              <w:ind w:left="93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Effectuer les opérations de connexion et de pilotage à partir de l’application</w:t>
            </w:r>
            <w:r/>
          </w:p>
          <w:p>
            <w:pPr>
              <w:ind w:left="93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</w:r>
            <w:r/>
          </w:p>
          <w:p>
            <w:pPr>
              <w:ind w:left="93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Réaliser la mise en service en respectant la procédure indiquée dans le manuel </w:t>
            </w:r>
            <w:r/>
          </w:p>
          <w:p>
            <w:pPr>
              <w:ind w:left="93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</w:r>
            <w:r/>
          </w:p>
          <w:p>
            <w:pPr>
              <w:ind w:left="93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 xml:space="preserve">Appliquer les mesures de prévention liée à l’intervention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2224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Mode opératoire</w:t>
            </w:r>
            <w:r/>
          </w:p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Centrale de traitement d’air</w:t>
            </w:r>
            <w:r/>
          </w:p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Appareils de mesure</w:t>
            </w:r>
            <w:r/>
          </w:p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Maquette BIM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898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La centrale de traitement </w:t>
            </w: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d’air est</w:t>
            </w: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 mise en service et fonctionne correctement</w:t>
            </w:r>
            <w:bookmarkEnd w:id="2"/>
            <w:r/>
            <w:r/>
          </w:p>
        </w:tc>
      </w:tr>
    </w:tbl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tbl>
      <w:tblPr>
        <w:tblStyle w:val="680"/>
        <w:tblW w:w="10773" w:type="dxa"/>
        <w:tblInd w:w="57" w:type="dxa"/>
        <w:tblCellMar>
          <w:left w:w="57" w:type="dxa"/>
          <w:right w:w="108" w:type="dxa"/>
        </w:tblCellMar>
        <w:tblLook w:val="0000" w:firstRow="0" w:lastRow="0" w:firstColumn="0" w:lastColumn="0" w:noHBand="0" w:noVBand="0"/>
      </w:tblPr>
      <w:tblGrid>
        <w:gridCol w:w="4677"/>
        <w:gridCol w:w="6096"/>
      </w:tblGrid>
      <w:tr>
        <w:trPr>
          <w:trHeight w:val="397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spacing w:before="120"/>
              <w:rPr>
                <w:rFonts w:ascii="Calibri" w:hAnsi="Calibri" w:cs="Calibri" w:eastAsia="Calibri"/>
                <w:b/>
                <w:color w:val="000000"/>
              </w:rPr>
            </w:pPr>
            <w:r/>
            <w:bookmarkStart w:id="3" w:name="_Hlk74736571"/>
            <w:r>
              <w:rPr>
                <w:rFonts w:ascii="Calibri" w:hAnsi="Calibri" w:cs="Calibri" w:eastAsia="Calibri"/>
                <w:b/>
                <w:color w:val="000000"/>
                <w:sz w:val="36"/>
                <w:szCs w:val="36"/>
              </w:rPr>
              <w:t xml:space="preserve">FICHE PÉDAGOGIQUE DE LA SÉQUENCE n°3</w:t>
            </w:r>
            <w:r/>
          </w:p>
        </w:tc>
      </w:tr>
      <w:tr>
        <w:trPr>
          <w:trHeight w:val="666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W w:w="4677" w:type="dxa"/>
            <w:vMerge w:val="restart"/>
            <w:textDirection w:val="lrTb"/>
            <w:noWrap w:val="false"/>
          </w:tcPr>
          <w:p>
            <w:pPr>
              <w:jc w:val="center"/>
              <w:spacing w:lineRule="auto" w:line="360"/>
              <w:rPr>
                <w:rFonts w:ascii="Arial" w:hAnsi="Arial" w:cs="Arial" w:eastAsia="Calibri"/>
                <w:b/>
                <w:i/>
                <w:color w:val="FF99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86050" cy="1704975"/>
                      <wp:effectExtent l="0" t="0" r="0" b="9525"/>
                      <wp:docPr id="5" name="Image 4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index.jpe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86050" cy="1704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mso-wrap-distance-left:0.0pt;mso-wrap-distance-top:0.0pt;mso-wrap-distance-right:0.0pt;mso-wrap-distance-bottom:0.0pt;width:211.5pt;height:134.2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  <w:r/>
          </w:p>
        </w:tc>
        <w:tc>
          <w:tcPr>
            <w:shd w:val="clear" w:color="auto" w:fill="E5B8B7" w:themeFill="accent2" w:themeFillTint="66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609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jc w:val="center"/>
              <w:keepNext/>
              <w:spacing w:after="40"/>
              <w:tabs>
                <w:tab w:val="left" w:pos="0" w:leader="none"/>
              </w:tabs>
              <w:rPr>
                <w:rFonts w:ascii="Calibri" w:hAnsi="Calibri" w:cs="Calibri" w:eastAsia="Calibri"/>
                <w:b/>
                <w:i/>
                <w:color w:val="000000"/>
                <w:sz w:val="18"/>
                <w:szCs w:val="18"/>
              </w:rPr>
              <w:outlineLvl w:val="0"/>
            </w:pPr>
            <w:r>
              <w:rPr>
                <w:rFonts w:ascii="Calibri" w:hAnsi="Calibri" w:cs="Calibri" w:eastAsia="Calibri"/>
                <w:b/>
                <w:i/>
                <w:color w:val="000000"/>
                <w:sz w:val="18"/>
                <w:szCs w:val="18"/>
              </w:rPr>
              <w:t xml:space="preserve">Problématique</w:t>
            </w:r>
            <w:r/>
          </w:p>
          <w:p>
            <w:pPr>
              <w:ind w:left="-107" w:right="141"/>
              <w:jc w:val="center"/>
              <w:keepLines/>
              <w:keepNext/>
              <w:spacing w:after="200" w:before="320"/>
              <w:rPr>
                <w:rFonts w:ascii="Calibri" w:hAnsi="Calibri"/>
                <w:b/>
                <w:bCs/>
                <w:color w:val="F79646"/>
              </w:rPr>
              <w:outlineLvl w:val="7"/>
            </w:pPr>
            <w:r>
              <w:rPr>
                <w:rFonts w:ascii="Calibri" w:hAnsi="Calibri" w:cs="Calibri" w:eastAsia="Arial"/>
                <w:i/>
                <w:iCs/>
                <w:color w:val="001F5F"/>
                <w:sz w:val="22"/>
                <w:szCs w:val="22"/>
              </w:rPr>
              <w:t xml:space="preserve">Comment exploiter un équipement ou une installation pour en assurer l’efficacité énergétique ?</w:t>
            </w:r>
            <w:r/>
          </w:p>
        </w:tc>
      </w:tr>
      <w:tr>
        <w:trPr>
          <w:trHeight w:val="138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4677" w:type="dxa"/>
            <w:vMerge w:val="continue"/>
            <w:textDirection w:val="lrTb"/>
            <w:noWrap w:val="false"/>
          </w:tcPr>
          <w:p>
            <w:pPr>
              <w:spacing w:lineRule="auto" w:line="276"/>
              <w:widowControl w:val="off"/>
            </w:pPr>
            <w:r/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6096" w:type="dxa"/>
            <w:vAlign w:val="center"/>
            <w:textDirection w:val="lrTb"/>
            <w:noWrap w:val="false"/>
          </w:tcPr>
          <w:p>
            <w:pPr>
              <w:pStyle w:val="600"/>
              <w:numPr>
                <w:ilvl w:val="0"/>
                <w:numId w:val="3"/>
              </w:numPr>
              <w:jc w:val="center"/>
              <w:spacing w:after="40" w:before="40"/>
              <w:tabs>
                <w:tab w:val="left" w:pos="0" w:leader="none"/>
              </w:tabs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  <w:t xml:space="preserve">Positionnement sur la classe de terminale</w:t>
            </w:r>
            <w:r/>
          </w:p>
          <w:p>
            <w:pPr>
              <w:pStyle w:val="600"/>
              <w:numPr>
                <w:ilvl w:val="0"/>
                <w:numId w:val="3"/>
              </w:numPr>
              <w:ind w:left="387"/>
              <w:jc w:val="center"/>
              <w:spacing w:after="40" w:before="40"/>
              <w:tabs>
                <w:tab w:val="left" w:pos="387" w:leader="none"/>
              </w:tabs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  <w:t xml:space="preserve">Début d’année                                                                               Fin d’année</w:t>
            </w:r>
            <w:r/>
          </w:p>
          <w:tbl>
            <w:tblPr>
              <w:tblStyle w:val="681"/>
              <w:tblW w:w="5295" w:type="dxa"/>
              <w:tblInd w:w="553" w:type="dxa"/>
              <w:tblCellMar>
                <w:right w:w="0" w:type="dxa"/>
              </w:tblCellMar>
              <w:tblLook w:val="0400" w:firstRow="0" w:lastRow="0" w:firstColumn="0" w:lastColumn="0" w:noHBand="0" w:noVBand="1"/>
            </w:tblPr>
            <w:tblGrid>
              <w:gridCol w:w="435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>
              <w:trPr/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435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/>
                  <w:bookmarkStart w:id="4" w:name="_Hlk74736305"/>
                  <w:r/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00B050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00B050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B050"/>
                      <w:highlight w:val="darkBlue"/>
                    </w:rPr>
                  </w:pPr>
                  <w:r>
                    <w:rPr>
                      <w:color w:val="00B05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bookmarkEnd w:id="4"/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8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</w:tr>
          </w:tbl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bookmarkEnd w:id="3"/>
            <w:r/>
          </w:p>
        </w:tc>
      </w:tr>
    </w:tbl>
    <w:p>
      <w:r/>
      <w:r/>
    </w:p>
    <w:tbl>
      <w:tblPr>
        <w:tblStyle w:val="680"/>
        <w:tblW w:w="10773" w:type="dxa"/>
        <w:tblInd w:w="57" w:type="dxa"/>
        <w:tblCellMar>
          <w:left w:w="57" w:type="dxa"/>
          <w:right w:w="108" w:type="dxa"/>
        </w:tblCellMar>
        <w:tblLook w:val="0000" w:firstRow="0" w:lastRow="0" w:firstColumn="0" w:lastColumn="0" w:noHBand="0" w:noVBand="0"/>
      </w:tblPr>
      <w:tblGrid>
        <w:gridCol w:w="2267"/>
        <w:gridCol w:w="3402"/>
        <w:gridCol w:w="5104"/>
      </w:tblGrid>
      <w:tr>
        <w:trPr>
          <w:trHeight w:val="320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Compétences visées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12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color w:val="00000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Critères d’évaluation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Savoirs associés</w:t>
            </w:r>
            <w:r/>
          </w:p>
        </w:tc>
      </w:tr>
      <w:tr>
        <w:trPr>
          <w:trHeight w:val="1478"/>
        </w:trPr>
        <w:tc>
          <w:tcPr>
            <w:shd w:val="clear" w:color="auto" w:fill="E5B8B7" w:themeFill="accent2" w:themeFillTint="66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C8.2 : Installer les appareils de mesures e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t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 de contrôle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9"/>
              </w:numPr>
              <w:ind w:left="242" w:right="187" w:hanging="100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Les </w:t>
            </w:r>
            <w:r>
              <w:rPr>
                <w:rFonts w:ascii="Arial" w:hAnsi="Arial" w:cs="Arial" w:eastAsia="Arial"/>
                <w:sz w:val="18"/>
                <w:szCs w:val="20"/>
              </w:rPr>
              <w:t xml:space="preserve">appareils sont installés en suivant les préconisations du fabricant et en respectant les normes en vigueur </w:t>
            </w:r>
            <w:r/>
          </w:p>
          <w:p>
            <w:pPr>
              <w:pStyle w:val="635"/>
              <w:numPr>
                <w:ilvl w:val="0"/>
                <w:numId w:val="9"/>
              </w:numPr>
              <w:ind w:left="242" w:right="187" w:hanging="100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Les </w:t>
            </w:r>
            <w:r>
              <w:rPr>
                <w:rFonts w:ascii="Arial" w:hAnsi="Arial" w:cs="Arial" w:eastAsia="Arial"/>
                <w:sz w:val="18"/>
                <w:szCs w:val="20"/>
              </w:rPr>
              <w:t xml:space="preserve">protocoles de communication sont paramétrés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S4.2 Les circuits thermodynamiques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S4.3 Les installations et équipements électriques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S4.4 Les réseaux hydrauliques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S4.5 Les réseaux aérauliques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S6.2 les opérations d’exploitation, de mise en service et de maintenance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S7.3 La santé et la sécurité au travail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</w:r>
            <w:r/>
          </w:p>
        </w:tc>
      </w:tr>
      <w:tr>
        <w:trPr>
          <w:trHeight w:val="1478"/>
        </w:trPr>
        <w:tc>
          <w:tcPr>
            <w:shd w:val="clear" w:color="auto" w:fill="E5B8B7" w:themeFill="accent2" w:themeFillTint="66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C8.3 Réaliser les mesures nécessaires pour valider le fonctionnement de l’installation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pStyle w:val="682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</w:rPr>
              <w:t xml:space="preserve"> -Les appareils sont utilisés en suivant les préconisations du fabricant et en respectant les normes en vigueur et les règles de l’art </w:t>
            </w:r>
            <w:r/>
          </w:p>
          <w:p>
            <w:pPr>
              <w:pStyle w:val="682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</w:rPr>
              <w:t xml:space="preserve"> -La lecture est conforme à la grandeur mesurée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S4.2 Les circuits thermodynamiques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S4.3 Les installations et équipements électriques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S4.4 Les réseaux hydrauliques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S4.5 Les réseaux aérauliques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S6.2 les opérations d’exploitation, de mise en service et de maintenance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S7.3 La santé et la sécurité au travail</w:t>
            </w:r>
            <w:r/>
          </w:p>
        </w:tc>
      </w:tr>
      <w:tr>
        <w:trPr>
          <w:trHeight w:val="1478"/>
        </w:trPr>
        <w:tc>
          <w:tcPr>
            <w:shd w:val="clear" w:color="auto" w:fill="E5B8B7" w:themeFill="accent2" w:themeFillTint="66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C10.2 : Déterminer une organisation en fonction de l’environnement de travail et les conditions de la maintenance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9"/>
              </w:numPr>
              <w:ind w:left="242" w:right="187" w:hanging="100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</w:rPr>
              <w:t xml:space="preserve">L’approvisionnement en équipements, matériels et outillages est </w:t>
            </w:r>
            <w:r>
              <w:rPr>
                <w:rFonts w:ascii="Arial" w:hAnsi="Arial" w:cs="Arial" w:eastAsia="Arial"/>
                <w:sz w:val="18"/>
                <w:szCs w:val="20"/>
              </w:rPr>
              <w:t xml:space="preserve">assuré</w:t>
            </w:r>
            <w:r>
              <w:rPr>
                <w:rFonts w:ascii="Arial" w:hAnsi="Arial" w:cs="Arial" w:eastAsia="Arial"/>
                <w:sz w:val="18"/>
                <w:szCs w:val="20"/>
              </w:rPr>
              <w:t xml:space="preserve"> </w:t>
            </w:r>
            <w:r/>
          </w:p>
          <w:p>
            <w:pPr>
              <w:pStyle w:val="682"/>
              <w:ind w:left="142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</w:rPr>
              <w:t xml:space="preserve">-Le poste de travail est organisé avec ergonomie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S6.2 les opérations d’exploitation, de mise en service et de maintenance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S7.3 La santé et la sécurité au travail</w:t>
            </w:r>
            <w:r/>
          </w:p>
        </w:tc>
      </w:tr>
      <w:tr>
        <w:trPr>
          <w:trHeight w:val="1478"/>
        </w:trPr>
        <w:tc>
          <w:tcPr>
            <w:shd w:val="clear" w:color="auto" w:fill="E5B8B7" w:themeFill="accent2" w:themeFillTint="66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rPr>
                <w:rFonts w:ascii="Arial" w:hAnsi="Arial" w:cs="Arial" w:eastAsia="Arial"/>
                <w:color w:val="001F5F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C10.3 : Contrôler les données d’exploitation (indicateurs, voyants…) par rapport aux attendus</w:t>
            </w:r>
            <w:r/>
          </w:p>
          <w:p>
            <w:pPr>
              <w:ind w:right="57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20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9"/>
              </w:numPr>
              <w:ind w:left="242" w:right="187" w:hanging="100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Les </w:t>
            </w:r>
            <w:r>
              <w:rPr>
                <w:rFonts w:ascii="Arial" w:hAnsi="Arial" w:cs="Arial" w:eastAsia="Arial"/>
                <w:sz w:val="18"/>
                <w:szCs w:val="20"/>
              </w:rPr>
              <w:t xml:space="preserve">dérives et signes d’anomalies sont détectés </w:t>
            </w:r>
            <w:r/>
          </w:p>
          <w:p>
            <w:pPr>
              <w:pStyle w:val="635"/>
              <w:ind w:left="242"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</w:rPr>
            </w:r>
            <w:r/>
          </w:p>
          <w:p>
            <w:pPr>
              <w:pStyle w:val="635"/>
              <w:numPr>
                <w:ilvl w:val="0"/>
                <w:numId w:val="9"/>
              </w:numPr>
              <w:ind w:left="242" w:right="187" w:hanging="100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</w:rPr>
              <w:t xml:space="preserve">Les désordres éventuels de l’installation sont identifiés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S6.2 les opérations d’exploitation, de mise en service et de maintenance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S7.3 La santé et la sécurité au travail</w:t>
            </w:r>
            <w:r/>
          </w:p>
        </w:tc>
      </w:tr>
      <w:tr>
        <w:trPr>
          <w:trHeight w:val="1478"/>
        </w:trPr>
        <w:tc>
          <w:tcPr>
            <w:shd w:val="clear" w:color="auto" w:fill="E5B8B7" w:themeFill="accent2" w:themeFillTint="66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C13.2 : Expliquer le 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fonctionnement et l’utilisation de l’installation au client et/ou à l’exploitant 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402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9"/>
              </w:numPr>
              <w:ind w:left="242" w:right="187" w:hanging="100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Les explications sont correctes </w:t>
            </w:r>
            <w:r/>
          </w:p>
          <w:p>
            <w:pPr>
              <w:pStyle w:val="635"/>
              <w:numPr>
                <w:ilvl w:val="0"/>
                <w:numId w:val="9"/>
              </w:numPr>
              <w:ind w:left="242" w:right="187" w:hanging="100"/>
              <w:widowControl w:val="off"/>
              <w:rPr>
                <w:rFonts w:ascii="Arial" w:hAnsi="Arial" w:cs="Arial" w:eastAsia="Arial"/>
                <w:sz w:val="18"/>
                <w:szCs w:val="20"/>
              </w:rPr>
            </w:pPr>
            <w:r>
              <w:rPr>
                <w:rFonts w:ascii="Arial" w:hAnsi="Arial" w:cs="Arial" w:eastAsia="Arial"/>
                <w:sz w:val="18"/>
                <w:szCs w:val="20"/>
                <w:lang w:bidi="fr-FR"/>
              </w:rPr>
              <w:t xml:space="preserve">Les explications permettent l’utilisation de l’installation par le client et/ou l’exploitant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104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20"/>
              </w:rPr>
              <w:t xml:space="preserve">S8.1 la communication orale</w:t>
            </w:r>
            <w:r/>
          </w:p>
        </w:tc>
      </w:tr>
    </w:tbl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tbl>
      <w:tblPr>
        <w:tblStyle w:val="680"/>
        <w:tblW w:w="11050" w:type="dxa"/>
        <w:tblInd w:w="-36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11050"/>
      </w:tblGrid>
      <w:tr>
        <w:trPr>
          <w:trHeight w:val="305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1050" w:type="dxa"/>
            <w:vAlign w:val="center"/>
            <w:textDirection w:val="lrTb"/>
            <w:noWrap w:val="false"/>
          </w:tcPr>
          <w:p>
            <w:pPr>
              <w:jc w:val="center"/>
              <w:pageBreakBefore/>
              <w:rPr>
                <w:rFonts w:ascii="Calibri" w:hAnsi="Calibri" w:cs="Calibri" w:eastAsia="Calibri"/>
                <w:color w:val="000000"/>
                <w:sz w:val="22"/>
                <w:szCs w:val="22"/>
              </w:rPr>
            </w:pPr>
            <w:r/>
            <w:bookmarkStart w:id="5" w:name="_Hlk69789378"/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Prérequis des élèves</w:t>
            </w:r>
            <w:r/>
          </w:p>
        </w:tc>
      </w:tr>
      <w:tr>
        <w:trPr>
          <w:trHeight w:val="649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W w:w="110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Connaissance du projet</w:t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Préparation de la réalisation</w:t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Réalisation de l’installation</w:t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Outillage, matériels et matériaux</w:t>
            </w:r>
            <w:r/>
          </w:p>
          <w:p>
            <w:pPr>
              <w:jc w:val="center"/>
              <w:rPr>
                <w:rFonts w:ascii="Arial" w:hAnsi="Arial" w:cs="Arial" w:eastAsia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Calibri"/>
                <w:color w:val="000000"/>
                <w:sz w:val="18"/>
                <w:szCs w:val="18"/>
              </w:rPr>
            </w:r>
            <w:r/>
          </w:p>
        </w:tc>
      </w:tr>
    </w:tbl>
    <w:p>
      <w:r/>
      <w:r/>
    </w:p>
    <w:tbl>
      <w:tblPr>
        <w:tblStyle w:val="680"/>
        <w:tblW w:w="11050" w:type="dxa"/>
        <w:tblInd w:w="-36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5152"/>
        <w:gridCol w:w="5898"/>
      </w:tblGrid>
      <w:tr>
        <w:trPr>
          <w:trHeight w:val="410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1050" w:type="dxa"/>
            <w:vAlign w:val="center"/>
            <w:textDirection w:val="lrTb"/>
            <w:noWrap w:val="false"/>
          </w:tcPr>
          <w:p>
            <w:pPr>
              <w:ind w:left="360"/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Présentation du contexte professionnel</w:t>
            </w:r>
            <w:r/>
          </w:p>
        </w:tc>
      </w:tr>
      <w:tr>
        <w:trPr>
          <w:trHeight w:val="520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1050" w:type="dxa"/>
            <w:vAlign w:val="center"/>
            <w:textDirection w:val="lrTb"/>
            <w:noWrap w:val="false"/>
          </w:tcPr>
          <w:p>
            <w:pPr>
              <w:pStyle w:val="600"/>
              <w:numPr>
                <w:ilvl w:val="0"/>
                <w:numId w:val="2"/>
              </w:numPr>
              <w:ind w:left="283"/>
              <w:spacing w:after="40"/>
              <w:tabs>
                <w:tab w:val="left" w:pos="0" w:leader="none"/>
              </w:tabs>
              <w:rPr>
                <w:rFonts w:ascii="Arial" w:hAnsi="Arial" w:cs="Arial" w:eastAsia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 w:val="false"/>
                <w:bCs/>
                <w:iCs/>
                <w:color w:val="000000"/>
                <w:sz w:val="22"/>
                <w:szCs w:val="22"/>
              </w:rPr>
              <w:t xml:space="preserve">Après avoir mis en service la centrale de traitement d’air au groupe scolaire Tillon, vous devez effectuer le réglage de la température de soufflage de la centrale de traitement </w:t>
            </w:r>
            <w:r>
              <w:rPr>
                <w:rFonts w:ascii="Calibri" w:hAnsi="Calibri" w:cs="Calibri" w:eastAsia="Calibri"/>
                <w:b w:val="false"/>
                <w:bCs/>
                <w:iCs/>
                <w:color w:val="000000"/>
                <w:sz w:val="22"/>
                <w:szCs w:val="22"/>
              </w:rPr>
              <w:t xml:space="preserve">d’air conformément</w:t>
            </w:r>
            <w:r>
              <w:rPr>
                <w:rFonts w:ascii="Calibri" w:hAnsi="Calibri" w:cs="Calibri" w:eastAsia="Calibri"/>
                <w:b w:val="false"/>
                <w:bCs/>
                <w:iCs/>
                <w:color w:val="000000"/>
                <w:sz w:val="22"/>
                <w:szCs w:val="22"/>
              </w:rPr>
              <w:t xml:space="preserve"> au CCTP</w:t>
            </w:r>
            <w:r>
              <w:rPr>
                <w:rFonts w:ascii="Arial" w:hAnsi="Arial" w:cs="Arial" w:eastAsia="Calibri"/>
                <w:b w:val="false"/>
                <w:bCs/>
                <w:iCs/>
                <w:color w:val="000000"/>
                <w:sz w:val="18"/>
                <w:szCs w:val="18"/>
              </w:rPr>
              <w:t xml:space="preserve">.</w:t>
            </w:r>
            <w:r/>
          </w:p>
        </w:tc>
      </w:tr>
      <w:tr>
        <w:trPr>
          <w:trHeight w:val="296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10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Éléments à retenir</w:t>
            </w:r>
            <w:r/>
          </w:p>
        </w:tc>
      </w:tr>
      <w:tr>
        <w:trPr>
          <w:trHeight w:val="580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1050" w:type="dxa"/>
            <w:textDirection w:val="lrTb"/>
            <w:noWrap w:val="false"/>
          </w:tcPr>
          <w:p>
            <w:pPr>
              <w:jc w:val="center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  <w:u w:val="single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  <w:u w:val="single"/>
              </w:rPr>
              <w:t xml:space="preserve">A l’issue de la séquence, l’élève sera capable de :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Mesurer différentes valeurs 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Rechercher et comparer les différentes valeurs données par CCTP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Réaliser le réglage de la température ambiante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Communiquer avec le client</w:t>
            </w:r>
            <w:r/>
          </w:p>
        </w:tc>
      </w:tr>
      <w:tr>
        <w:trPr>
          <w:trHeight w:val="440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W w:w="515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Liens avec les autres disciplines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58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Modalités d’évaluation</w:t>
            </w:r>
            <w:r/>
          </w:p>
        </w:tc>
      </w:tr>
      <w:tr>
        <w:trPr>
          <w:trHeight w:val="48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W w:w="515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Prévention Santé Environnement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5898" w:type="dxa"/>
            <w:textDirection w:val="lrTb"/>
            <w:noWrap w:val="false"/>
          </w:tcPr>
          <w:p>
            <w:pPr>
              <w:jc w:val="both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Évaluation formative</w:t>
            </w:r>
            <w:r/>
          </w:p>
        </w:tc>
      </w:tr>
    </w:tbl>
    <w:p>
      <w:r/>
      <w:r/>
    </w:p>
    <w:tbl>
      <w:tblPr>
        <w:tblStyle w:val="680"/>
        <w:tblW w:w="11050" w:type="dxa"/>
        <w:tblInd w:w="-34" w:type="dxa"/>
        <w:tblLayout w:type="fixed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2269"/>
        <w:gridCol w:w="1842"/>
        <w:gridCol w:w="2552"/>
        <w:gridCol w:w="1984"/>
        <w:gridCol w:w="2403"/>
      </w:tblGrid>
      <w:tr>
        <w:trPr>
          <w:trHeight w:val="389"/>
        </w:trPr>
        <w:tc>
          <w:tcPr>
            <w:gridSpan w:val="5"/>
            <w:shd w:val="clear" w:color="auto" w:fill="E5B8B7" w:themeFill="accent2" w:themeFillTint="66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105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Arial" w:hAnsi="Arial" w:cs="Arial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Calibri"/>
                <w:b/>
                <w:color w:val="000000"/>
                <w:sz w:val="18"/>
                <w:szCs w:val="18"/>
              </w:rPr>
              <w:t xml:space="preserve">Déroulement de la séquence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26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Questionnement pour mettre en réflexion les élèves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84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Démarche pédagogique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255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Activités élèves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Ressources – Matériels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Conclusion - Bilan</w:t>
            </w:r>
            <w:r/>
          </w:p>
        </w:tc>
      </w:tr>
      <w:tr>
        <w:trPr>
          <w:trHeight w:val="1778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269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Comment installer les différents appareils de mesure 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842" w:type="dxa"/>
            <w:vAlign w:val="center"/>
            <w:textDirection w:val="lrTb"/>
            <w:noWrap w:val="false"/>
          </w:tcPr>
          <w:p>
            <w:pPr>
              <w:ind w:left="93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Méthode active ou de découverte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2552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</w:r>
            <w:r/>
          </w:p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Choisir les différents appareils</w:t>
            </w:r>
            <w:r/>
          </w:p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Mesurer les différents paramètres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Centrale de traitement d’air</w:t>
            </w:r>
            <w:r/>
          </w:p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Groupe d’eau glacée</w:t>
            </w:r>
            <w:r/>
          </w:p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Thermomètre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3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L’installation des appareils de mesure sont correctement installés</w:t>
            </w:r>
            <w:bookmarkEnd w:id="5"/>
            <w:r/>
            <w:r/>
          </w:p>
        </w:tc>
      </w:tr>
      <w:tr>
        <w:trPr>
          <w:trHeight w:val="1778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269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Comment s’assurer que toutes les </w:t>
            </w: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valeurs sont</w:t>
            </w: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 correctes 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842" w:type="dxa"/>
            <w:vAlign w:val="center"/>
            <w:textDirection w:val="lrTb"/>
            <w:noWrap w:val="false"/>
          </w:tcPr>
          <w:p>
            <w:pPr>
              <w:ind w:left="93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Méthode active ou de découverte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2552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S’interroger sur la possibilité de trouver la valeur de la température</w:t>
            </w:r>
            <w:r/>
          </w:p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Rechercher l’information dans le CCTP</w:t>
            </w:r>
            <w:r/>
          </w:p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S’interroger sur la possibilité de trouver les différentes valeurs</w:t>
            </w:r>
            <w:r/>
          </w:p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Rechercher l’information dans le CCTP</w:t>
            </w:r>
            <w:r/>
          </w:p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Comparer les différentes valeurs indiquées dans le CCTP avec celle préalablement mesurées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CCTP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3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Les valeurs </w:t>
            </w: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correspondent aux</w:t>
            </w: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 valeurs indiquées par le CCTP</w:t>
            </w:r>
            <w:r/>
          </w:p>
        </w:tc>
      </w:tr>
      <w:tr>
        <w:trPr>
          <w:trHeight w:val="1778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269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Comment régler les différentes </w:t>
            </w: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valeurs 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842" w:type="dxa"/>
            <w:vAlign w:val="center"/>
            <w:textDirection w:val="lrTb"/>
            <w:noWrap w:val="false"/>
          </w:tcPr>
          <w:p>
            <w:pPr>
              <w:ind w:left="93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Méthode active ou de découverte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2552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Rechercher les différents moyens permettant de régler les différentes valeurs</w:t>
            </w:r>
            <w:r/>
          </w:p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Choisir le moyen le plus approprié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Centrale de traitement </w:t>
            </w: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d’</w:t>
            </w: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air</w:t>
            </w:r>
            <w:r/>
          </w:p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Groupe d’eau glacée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3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Les valeurs sont réglées sur les différents éléments</w:t>
            </w:r>
            <w:r/>
          </w:p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Les valeurs réglées correspondent aux valeurs indiquées par le CCTP</w:t>
            </w:r>
            <w:r/>
          </w:p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</w:r>
            <w:r/>
          </w:p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</w:r>
            <w:r/>
          </w:p>
          <w:p>
            <w:pPr>
              <w:ind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</w:r>
            <w:r/>
          </w:p>
        </w:tc>
      </w:tr>
      <w:tr>
        <w:trPr>
          <w:trHeight w:val="1778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269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Comment expliquer la nécessité de limiter la température ambiante dans la salle au client ?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842" w:type="dxa"/>
            <w:vAlign w:val="center"/>
            <w:textDirection w:val="lrTb"/>
            <w:noWrap w:val="false"/>
          </w:tcPr>
          <w:p>
            <w:pPr>
              <w:ind w:left="93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Méthode active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2552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Rechercher la raison pour laquelle la température ambiante</w:t>
            </w: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doit être limitée</w:t>
            </w:r>
            <w:r/>
          </w:p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Expliquer cette obligation au client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Client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03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L’élève trouve les informations</w:t>
            </w:r>
            <w:r/>
          </w:p>
          <w:p>
            <w:pPr>
              <w:ind w:left="45" w:right="74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auto"/>
                <w:sz w:val="18"/>
                <w:szCs w:val="18"/>
              </w:rPr>
              <w:t xml:space="preserve">L’élève explique au client la nécessité de limiter la température ambiante de la salle</w:t>
            </w:r>
            <w:r/>
          </w:p>
        </w:tc>
      </w:tr>
    </w:tbl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tbl>
      <w:tblPr>
        <w:tblStyle w:val="680"/>
        <w:tblW w:w="10773" w:type="dxa"/>
        <w:tblInd w:w="57" w:type="dxa"/>
        <w:tblCellMar>
          <w:left w:w="57" w:type="dxa"/>
          <w:right w:w="108" w:type="dxa"/>
        </w:tblCellMar>
        <w:tblLook w:val="0000" w:firstRow="0" w:lastRow="0" w:firstColumn="0" w:lastColumn="0" w:noHBand="0" w:noVBand="0"/>
      </w:tblPr>
      <w:tblGrid>
        <w:gridCol w:w="4771"/>
        <w:gridCol w:w="6002"/>
      </w:tblGrid>
      <w:tr>
        <w:trPr>
          <w:trHeight w:val="397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0773" w:type="dxa"/>
            <w:vAlign w:val="center"/>
            <w:textDirection w:val="lrTb"/>
            <w:noWrap w:val="false"/>
          </w:tcPr>
          <w:p>
            <w:pPr>
              <w:jc w:val="center"/>
              <w:spacing w:before="120"/>
              <w:rPr>
                <w:rFonts w:ascii="Calibri" w:hAnsi="Calibri" w:cs="Calibri" w:eastAsia="Calibri"/>
                <w:b/>
                <w:color w:val="00000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36"/>
                <w:szCs w:val="36"/>
              </w:rPr>
              <w:t xml:space="preserve">FICHE PÉDAGOGIQUE DE LA SÉQUENCE n°4</w:t>
            </w:r>
            <w:r/>
          </w:p>
        </w:tc>
      </w:tr>
      <w:tr>
        <w:trPr>
          <w:trHeight w:val="666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W w:w="4771" w:type="dxa"/>
            <w:vMerge w:val="restart"/>
            <w:textDirection w:val="lrTb"/>
            <w:noWrap w:val="false"/>
          </w:tcPr>
          <w:p>
            <w:pPr>
              <w:jc w:val="center"/>
              <w:spacing w:lineRule="auto" w:line="360"/>
              <w:rPr>
                <w:rFonts w:ascii="Arial" w:hAnsi="Arial" w:cs="Arial" w:eastAsia="Calibri"/>
                <w:b/>
                <w:i/>
                <w:color w:val="FF99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i/>
                <w:color w:val="000000"/>
                <w:sz w:val="8"/>
                <w:szCs w:val="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86050" cy="1704975"/>
                      <wp:effectExtent l="0" t="0" r="0" b="9525"/>
                      <wp:docPr id="6" name="Image 12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index.jpeg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86050" cy="1704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mso-wrap-distance-left:0.0pt;mso-wrap-distance-top:0.0pt;mso-wrap-distance-right:0.0pt;mso-wrap-distance-bottom:0.0pt;width:211.5pt;height:134.2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  <w:r/>
          </w:p>
        </w:tc>
        <w:tc>
          <w:tcPr>
            <w:shd w:val="clear" w:color="auto" w:fill="CCC0D9" w:themeFill="accent4" w:themeFillTint="66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6002" w:type="dxa"/>
            <w:vAlign w:val="center"/>
            <w:textDirection w:val="lrTb"/>
            <w:noWrap w:val="false"/>
          </w:tcPr>
          <w:p>
            <w:pPr>
              <w:pStyle w:val="600"/>
              <w:numPr>
                <w:ilvl w:val="0"/>
                <w:numId w:val="3"/>
              </w:numPr>
              <w:jc w:val="center"/>
              <w:spacing w:after="40"/>
              <w:tabs>
                <w:tab w:val="left" w:pos="0" w:leader="none"/>
              </w:tabs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  <w:t xml:space="preserve">Problématique</w:t>
            </w:r>
            <w:r/>
          </w:p>
          <w:p>
            <w:pPr>
              <w:jc w:val="center"/>
              <w:rPr>
                <w:rFonts w:ascii="Calibri" w:hAnsi="Calibri"/>
                <w:b/>
                <w:bCs/>
                <w:color w:val="F79646"/>
              </w:rPr>
            </w:pPr>
            <w:r>
              <w:rPr>
                <w:rFonts w:ascii="Calibri" w:hAnsi="Calibri" w:cs="Calibri" w:eastAsia="Arial"/>
                <w:i/>
                <w:iCs/>
                <w:color w:val="001F5F"/>
                <w:sz w:val="22"/>
                <w:szCs w:val="22"/>
              </w:rPr>
              <w:t xml:space="preserve">Comment assurer le bon fonctionnement d’un équipement ou d’une installation ?</w:t>
            </w:r>
            <w:r/>
          </w:p>
        </w:tc>
      </w:tr>
      <w:tr>
        <w:trPr>
          <w:trHeight w:val="138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4771" w:type="dxa"/>
            <w:vMerge w:val="continue"/>
            <w:textDirection w:val="lrTb"/>
            <w:noWrap w:val="false"/>
          </w:tcPr>
          <w:p>
            <w:pPr>
              <w:spacing w:lineRule="auto" w:line="276"/>
              <w:widowControl w:val="off"/>
            </w:pPr>
            <w:r/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6002" w:type="dxa"/>
            <w:vAlign w:val="center"/>
            <w:textDirection w:val="lrTb"/>
            <w:noWrap w:val="false"/>
          </w:tcPr>
          <w:p>
            <w:pPr>
              <w:pStyle w:val="600"/>
              <w:numPr>
                <w:ilvl w:val="0"/>
                <w:numId w:val="3"/>
              </w:numPr>
              <w:jc w:val="center"/>
              <w:spacing w:after="40" w:before="40"/>
              <w:tabs>
                <w:tab w:val="left" w:pos="0" w:leader="none"/>
              </w:tabs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  <w:t xml:space="preserve">Positionnement sur la classe de terminale</w:t>
            </w:r>
            <w:r/>
          </w:p>
          <w:p>
            <w:pPr>
              <w:pStyle w:val="600"/>
              <w:numPr>
                <w:ilvl w:val="0"/>
                <w:numId w:val="3"/>
              </w:numPr>
              <w:ind w:left="387"/>
              <w:jc w:val="center"/>
              <w:spacing w:after="40" w:before="40"/>
              <w:tabs>
                <w:tab w:val="left" w:pos="387" w:leader="none"/>
              </w:tabs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i/>
                <w:color w:val="000000"/>
                <w:sz w:val="18"/>
                <w:szCs w:val="18"/>
              </w:rPr>
              <w:t xml:space="preserve">Début d’année                                                                               Fin d’année</w:t>
            </w:r>
            <w:r/>
          </w:p>
          <w:tbl>
            <w:tblPr>
              <w:tblStyle w:val="681"/>
              <w:tblW w:w="5295" w:type="dxa"/>
              <w:tblInd w:w="553" w:type="dxa"/>
              <w:tblCellMar>
                <w:right w:w="0" w:type="dxa"/>
              </w:tblCellMar>
              <w:tblLook w:val="0400" w:firstRow="0" w:lastRow="0" w:firstColumn="0" w:lastColumn="0" w:noHBand="0" w:noVBand="1"/>
            </w:tblPr>
            <w:tblGrid>
              <w:gridCol w:w="435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>
              <w:trPr/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435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FFFFFF" w:themeFill="background1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FFFFFF" w:themeFill="background1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00B050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00B050"/>
                  <w:tcBorders>
                    <w:left w:val="single" w:color="000000" w:sz="4" w:space="0"/>
                    <w:top w:val="single" w:color="000000" w:sz="8" w:space="0"/>
                    <w:right w:val="single" w:color="000000" w:sz="4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000000" w:sz="4" w:space="0"/>
                    <w:top w:val="single" w:color="000000" w:sz="8" w:space="0"/>
                    <w:right w:val="single" w:color="000000" w:sz="8" w:space="0"/>
                    <w:bottom w:val="single" w:color="000000" w:sz="8" w:space="0"/>
                  </w:tcBorders>
                  <w:tcW w:w="540" w:type="dxa"/>
                  <w:textDirection w:val="lrTb"/>
                  <w:noWrap w:val="false"/>
                </w:tcPr>
                <w:p>
                  <w:pPr>
                    <w:ind w:left="387"/>
                    <w:jc w:val="center"/>
                    <w:tabs>
                      <w:tab w:val="left" w:pos="387" w:leader="none"/>
                    </w:tabs>
                    <w:rPr>
                      <w:color w:val="000000"/>
                      <w:highlight w:val="darkBlue"/>
                    </w:rPr>
                  </w:pPr>
                  <w:r>
                    <w:rPr>
                      <w:color w:val="000000"/>
                      <w:highlight w:val="darkBlue"/>
                    </w:rPr>
                  </w:r>
                  <w:r/>
                </w:p>
              </w:tc>
            </w:tr>
          </w:tbl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/>
          </w:p>
        </w:tc>
      </w:tr>
    </w:tbl>
    <w:p>
      <w:r/>
      <w:r/>
    </w:p>
    <w:tbl>
      <w:tblPr>
        <w:tblStyle w:val="680"/>
        <w:tblW w:w="10936" w:type="dxa"/>
        <w:tblInd w:w="-87" w:type="dxa"/>
        <w:tblCellMar>
          <w:left w:w="57" w:type="dxa"/>
          <w:right w:w="108" w:type="dxa"/>
        </w:tblCellMar>
        <w:tblLook w:val="0000" w:firstRow="0" w:lastRow="0" w:firstColumn="0" w:lastColumn="0" w:noHBand="0" w:noVBand="0"/>
      </w:tblPr>
      <w:tblGrid>
        <w:gridCol w:w="144"/>
        <w:gridCol w:w="2267"/>
        <w:gridCol w:w="3153"/>
        <w:gridCol w:w="5353"/>
        <w:gridCol w:w="19"/>
      </w:tblGrid>
      <w:tr>
        <w:trPr>
          <w:gridAfter w:val="1"/>
          <w:gridBefore w:val="1"/>
          <w:trHeight w:val="320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Compétences visées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12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15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color w:val="000000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Critères d’évaluation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35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Savoirs associés</w:t>
            </w:r>
            <w:r/>
          </w:p>
        </w:tc>
      </w:tr>
      <w:tr>
        <w:trPr>
          <w:gridAfter w:val="1"/>
          <w:gridBefore w:val="1"/>
          <w:trHeight w:val="1478"/>
        </w:trPr>
        <w:tc>
          <w:tcPr>
            <w:shd w:val="clear" w:color="auto" w:fill="CCC0D9" w:themeFill="accent4" w:themeFillTint="66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C9.4 : Appliquer les règles de sécurité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153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9"/>
              </w:numPr>
              <w:ind w:left="242" w:right="187" w:hanging="13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Toutes les règles de sécurité des personnes et des biens sont appliquées</w:t>
            </w:r>
            <w:r/>
          </w:p>
          <w:p>
            <w:pPr>
              <w:pStyle w:val="635"/>
              <w:numPr>
                <w:ilvl w:val="0"/>
                <w:numId w:val="9"/>
              </w:numPr>
              <w:ind w:left="242" w:right="187" w:hanging="13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Les 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règles sur la manipulation des fluides, et les différentes prises de mesures sont respectées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353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S1.5 Les qualifications, garanties et responsabilités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S4.2 Les circuits thermodynamiques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S4.3 Les installations et équipements électriques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S4.4 Les réseaux hydrauliques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S4.5 Les réseaux aérauliques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S6.2 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L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es opérations d’exploitation, de mise en service et de maintenance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S7.3 La santé et la sécurité au travail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</w:r>
            <w:r/>
          </w:p>
        </w:tc>
      </w:tr>
      <w:tr>
        <w:trPr>
          <w:gridAfter w:val="1"/>
          <w:gridBefore w:val="1"/>
          <w:trHeight w:val="1478"/>
        </w:trPr>
        <w:tc>
          <w:tcPr>
            <w:shd w:val="clear" w:color="auto" w:fill="CCC0D9" w:themeFill="accent4" w:themeFillTint="66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C11.2 : Constater la défaillance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153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9"/>
              </w:numPr>
              <w:ind w:left="242" w:right="187" w:hanging="13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L’analyse des données technique de l’installation est effectuée </w:t>
            </w:r>
            <w:r/>
          </w:p>
          <w:p>
            <w:pPr>
              <w:pStyle w:val="635"/>
              <w:numPr>
                <w:ilvl w:val="0"/>
                <w:numId w:val="9"/>
              </w:numPr>
              <w:ind w:left="242" w:right="187" w:hanging="13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Le dysfonctionnement est identifié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353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S3.1 L’analyse fonctionnelle et structurelle des installations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S6.2 Les opérations d’exploitation, de mise en service et de maintenance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S7.3 La santé et la sécurité au travail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</w:r>
            <w:r/>
          </w:p>
        </w:tc>
      </w:tr>
      <w:tr>
        <w:trPr>
          <w:gridAfter w:val="1"/>
          <w:gridBefore w:val="1"/>
          <w:trHeight w:val="1478"/>
        </w:trPr>
        <w:tc>
          <w:tcPr>
            <w:shd w:val="clear" w:color="auto" w:fill="CCC0D9" w:themeFill="accent4" w:themeFillTint="66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C11.3: Lister des hypothèses de panne et/ou de dysfonctionnement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153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9"/>
              </w:numPr>
              <w:ind w:left="242" w:right="187" w:hanging="13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Toutes les hypothèses émises sont pertinentes </w:t>
            </w:r>
            <w:r/>
          </w:p>
          <w:p>
            <w:pPr>
              <w:pStyle w:val="635"/>
              <w:numPr>
                <w:ilvl w:val="0"/>
                <w:numId w:val="9"/>
              </w:numPr>
              <w:ind w:left="242" w:right="187" w:hanging="13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La hiérarchie des hypothèses identifiées est cohérente </w:t>
            </w:r>
            <w:r/>
          </w:p>
          <w:p>
            <w:pPr>
              <w:ind w:left="105"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353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S6.2 Les opérations d’exploitation, de mise en service et de maintenance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S7.3 La santé et la sécurité au travail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S8.1 La communication orale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</w:r>
            <w:r/>
          </w:p>
        </w:tc>
      </w:tr>
      <w:tr>
        <w:trPr>
          <w:gridAfter w:val="1"/>
          <w:gridBefore w:val="1"/>
          <w:trHeight w:val="1478"/>
        </w:trPr>
        <w:tc>
          <w:tcPr>
            <w:shd w:val="clear" w:color="auto" w:fill="CCC0D9" w:themeFill="accent4" w:themeFillTint="66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C11.4: </w:t>
            </w:r>
            <w:r>
              <w:rPr>
                <w:rFonts w:ascii="Arial" w:hAnsi="Arial" w:cs="Arial" w:eastAsia="Arial"/>
                <w:bCs/>
                <w:sz w:val="18"/>
                <w:szCs w:val="18"/>
              </w:rPr>
              <w:t xml:space="preserve">Vérifier 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les hypothèses en effectuant des mesures, des contrôles, des tests permettant en respectant les règles de sécurité.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153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9"/>
              </w:numPr>
              <w:ind w:left="242" w:right="187" w:hanging="13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Les résultats des tests, des contrôles et/ou des mesures permettent de valider les hypothèses 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353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S4.2 Les circuits thermodynamiques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S4.3 Les installations et équipements électriques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S4.4 Les réseaux hydrauliques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S4.5 Les réseaux aérauliques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S6.2 Les opérations d’exploitation, de mise en service et de maintenance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S7.3 La santé et la sécurité au travail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S8.1 La communication orale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</w:r>
            <w:r/>
          </w:p>
        </w:tc>
      </w:tr>
      <w:tr>
        <w:trPr>
          <w:gridAfter w:val="1"/>
          <w:gridBefore w:val="1"/>
          <w:trHeight w:val="1478"/>
        </w:trPr>
        <w:tc>
          <w:tcPr>
            <w:shd w:val="clear" w:color="auto" w:fill="CCC0D9" w:themeFill="accent4" w:themeFillTint="66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C11.5: Identifier le composant défectueux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 w:eastAsia="Arial"/>
                <w:color w:val="000000"/>
                <w:sz w:val="18"/>
                <w:szCs w:val="22"/>
                <w:lang w:eastAsia="en-US"/>
              </w:rPr>
              <w:t xml:space="preserve">et/ou la cause de la défaillance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153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9"/>
              </w:numPr>
              <w:ind w:left="242" w:right="187" w:hanging="13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Le composant est remplacé sans risque pour les personnes et le système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353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S6.2 Les opérations d’exploitation, de mise en service et de maintenance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S7.3 La santé et la sécurité au travail</w:t>
            </w:r>
            <w:r/>
          </w:p>
        </w:tc>
      </w:tr>
      <w:tr>
        <w:trPr>
          <w:gridAfter w:val="1"/>
          <w:gridBefore w:val="1"/>
          <w:trHeight w:val="1478"/>
        </w:trPr>
        <w:tc>
          <w:tcPr>
            <w:shd w:val="clear" w:color="auto" w:fill="CCC0D9" w:themeFill="accent4" w:themeFillTint="66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C11.8 : Consigner 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(déconsigner) 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le système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 w:eastAsia="Arial"/>
                <w:color w:val="000000"/>
                <w:sz w:val="18"/>
                <w:szCs w:val="22"/>
                <w:lang w:eastAsia="en-US"/>
              </w:rPr>
              <w:t xml:space="preserve">(électrique, fluidique : gaz, caloporteurs…)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153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9"/>
              </w:numPr>
              <w:ind w:left="242" w:right="187" w:hanging="13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Les matériels, les équipements et les outillages nécessaires à la consignation sont identifiés </w:t>
            </w:r>
            <w:r/>
          </w:p>
          <w:p>
            <w:pPr>
              <w:pStyle w:val="635"/>
              <w:numPr>
                <w:ilvl w:val="0"/>
                <w:numId w:val="9"/>
              </w:numPr>
              <w:ind w:left="242" w:right="187" w:hanging="13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Les protocoles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 de mise en service et/ou d’arrêt sont respectés</w:t>
            </w:r>
            <w:r/>
          </w:p>
          <w:p>
            <w:pPr>
              <w:pStyle w:val="635"/>
              <w:numPr>
                <w:ilvl w:val="0"/>
                <w:numId w:val="9"/>
              </w:numPr>
              <w:ind w:left="242" w:right="187" w:hanging="13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Les informations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 sont transmises à la hiérarchie et aux usagers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353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S1.5 Les qualifications, garanties et responsabilités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S4.3 Les</w:t>
            </w: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 installations et équipements électriques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S6.2 Les opérations d’exploitation, de mise en service et de maintenance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S7.3 La santé et la sécurité au travail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S8.1 La communication orale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</w:r>
            <w:r/>
          </w:p>
        </w:tc>
      </w:tr>
      <w:tr>
        <w:trPr>
          <w:gridAfter w:val="1"/>
          <w:gridBefore w:val="1"/>
          <w:trHeight w:val="1478"/>
        </w:trPr>
        <w:tc>
          <w:tcPr>
            <w:shd w:val="clear" w:color="auto" w:fill="CCC0D9" w:themeFill="accent4" w:themeFillTint="66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C11.9 : Effectuer la dépose du composant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153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9"/>
              </w:numPr>
              <w:ind w:left="242" w:right="187" w:hanging="13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Les opérations préalables sur le système (isolation tout ou partie du système fluidique, vidange, récupération des fluides frigorigènes …) permettent de garantir l’opération de dépose </w:t>
            </w:r>
            <w:r/>
          </w:p>
          <w:p>
            <w:pPr>
              <w:pStyle w:val="635"/>
              <w:ind w:left="242" w:right="187" w:hanging="13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  <w:p>
            <w:pPr>
              <w:pStyle w:val="635"/>
              <w:numPr>
                <w:ilvl w:val="0"/>
                <w:numId w:val="9"/>
              </w:numPr>
              <w:ind w:left="242" w:right="187" w:hanging="13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L’opération de remplacement respecte les consignes, le contrat de maintenance, les procédures et les normes en vigueur </w:t>
            </w:r>
            <w:r/>
          </w:p>
          <w:p>
            <w:pPr>
              <w:pStyle w:val="635"/>
              <w:numPr>
                <w:ilvl w:val="0"/>
                <w:numId w:val="9"/>
              </w:numPr>
              <w:ind w:left="242" w:right="187" w:hanging="13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Le composant défectueux est 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déposé et prêt à être recyclé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353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S1.5 Les qualifications, garanties et responsabilités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S6.2 Les opérations d’exploitation, de mise en service et de maintenance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S7.3 La santé et la sécurité au travail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</w:r>
            <w:r/>
          </w:p>
        </w:tc>
      </w:tr>
      <w:tr>
        <w:trPr>
          <w:gridAfter w:val="1"/>
          <w:gridBefore w:val="1"/>
          <w:trHeight w:val="1478"/>
        </w:trPr>
        <w:tc>
          <w:tcPr>
            <w:shd w:val="clear" w:color="auto" w:fill="CCC0D9" w:themeFill="accent4" w:themeFillTint="66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C11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.1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0 : Installer le composant défectueux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153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9"/>
              </w:numPr>
              <w:ind w:left="242" w:right="187" w:hanging="13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Le composant est remplacé en respectant les normes en vigueur et les contraintes de l’installation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353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S2.6 La gestion de l’environnement du site et des déchets produits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S7.3 La santé et la sécurité au travail</w:t>
            </w:r>
            <w:r/>
          </w:p>
        </w:tc>
      </w:tr>
      <w:tr>
        <w:trPr>
          <w:gridAfter w:val="1"/>
          <w:gridBefore w:val="1"/>
          <w:trHeight w:val="1478"/>
        </w:trPr>
        <w:tc>
          <w:tcPr>
            <w:shd w:val="clear" w:color="auto" w:fill="CCC0D9" w:themeFill="accent4" w:themeFillTint="66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color w:val="auto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C11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.12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 : Remettre en service l’installation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153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9"/>
              </w:numPr>
              <w:ind w:left="242" w:right="187" w:hanging="13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La remise en service permet le fonctionnement de l’installation à son point nominal ou en mode dégradé de l’installation et la continuité de service est assurée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353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S1.5 Les qualifications, garanties et responsabilités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S6.2 Les opérations d’exploitation, de mise en service et de maintenance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S7.3 La santé et la sécurité au travail</w:t>
            </w:r>
            <w:r/>
          </w:p>
        </w:tc>
      </w:tr>
      <w:tr>
        <w:trPr>
          <w:gridAfter w:val="1"/>
          <w:gridBefore w:val="1"/>
          <w:trHeight w:val="1478"/>
        </w:trPr>
        <w:tc>
          <w:tcPr>
            <w:shd w:val="clear" w:color="auto" w:fill="CCC0D9" w:themeFill="accent4" w:themeFillTint="66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C11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.13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 : Opérer le traitement des déchets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153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9"/>
              </w:numPr>
              <w:ind w:left="242" w:right="187" w:hanging="13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La zone d’intervention est remise en état. Les déchets sont évacués de façon éco-responsable et conformément aux règles en vigueur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353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S2.9 La gestion de l’environnement du site et des déchets produits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S7.3 La santé et la sécurité au travail</w:t>
            </w:r>
            <w:r/>
          </w:p>
        </w:tc>
      </w:tr>
      <w:tr>
        <w:trPr>
          <w:gridAfter w:val="1"/>
          <w:gridBefore w:val="1"/>
          <w:trHeight w:val="1478"/>
        </w:trPr>
        <w:tc>
          <w:tcPr>
            <w:shd w:val="clear" w:color="auto" w:fill="CCC0D9" w:themeFill="accent4" w:themeFillTint="66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C12.1 : Interpréter les informations du client sur le dysfonctionnement de l’installation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153" w:type="dxa"/>
            <w:vAlign w:val="center"/>
            <w:textDirection w:val="lrTb"/>
            <w:noWrap w:val="false"/>
          </w:tcPr>
          <w:p>
            <w:pPr>
              <w:pStyle w:val="635"/>
              <w:numPr>
                <w:ilvl w:val="0"/>
                <w:numId w:val="9"/>
              </w:numPr>
              <w:ind w:left="242" w:right="187" w:hanging="13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Les 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événements avant panne sont collectés </w:t>
            </w:r>
            <w:r/>
          </w:p>
          <w:p>
            <w:pPr>
              <w:pStyle w:val="682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A"/>
                <w:sz w:val="18"/>
                <w:szCs w:val="18"/>
                <w:lang w:bidi="fr-FR"/>
              </w:rPr>
              <w:t xml:space="preserve">-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Les constats sont pris en compte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353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S8.1 La communication orale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S8.2 les outils de la communication écrite et numérique</w:t>
            </w:r>
            <w:r/>
          </w:p>
        </w:tc>
      </w:tr>
      <w:tr>
        <w:trPr>
          <w:gridAfter w:val="1"/>
          <w:gridBefore w:val="1"/>
          <w:trHeight w:val="1478"/>
        </w:trPr>
        <w:tc>
          <w:tcPr>
            <w:shd w:val="clear" w:color="auto" w:fill="CCC0D9" w:themeFill="accent4" w:themeFillTint="66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C12.3 : Compléter les documents techniques et administratifs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153" w:type="dxa"/>
            <w:vAlign w:val="center"/>
            <w:textDirection w:val="lrTb"/>
            <w:noWrap w:val="false"/>
          </w:tcPr>
          <w:p>
            <w:pPr>
              <w:pStyle w:val="682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 -La fiche d’intervention est complétée sans erreurs </w:t>
            </w:r>
            <w:r/>
          </w:p>
          <w:p>
            <w:pPr>
              <w:pStyle w:val="682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 -Le bordereau de suivi de déchet dangereux est complété sans erreurs </w:t>
            </w:r>
            <w:r/>
          </w:p>
          <w:p>
            <w:pPr>
              <w:pStyle w:val="682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 -Le dossier technique est mis à jour </w:t>
            </w:r>
            <w:r/>
          </w:p>
          <w:p>
            <w:pPr>
              <w:pStyle w:val="682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 -Les fluides frigorigènes sont consignés sur la fiche CERFA n°15497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353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S8.1 La communication orale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S8.2 les outils de la communication écrite et numérique</w:t>
            </w:r>
            <w:r/>
          </w:p>
        </w:tc>
      </w:tr>
      <w:tr>
        <w:trPr>
          <w:gridAfter w:val="1"/>
          <w:gridBefore w:val="1"/>
          <w:trHeight w:val="1478"/>
        </w:trPr>
        <w:tc>
          <w:tcPr>
            <w:shd w:val="clear" w:color="auto" w:fill="CCC0D9" w:themeFill="accent4" w:themeFillTint="66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2267" w:type="dxa"/>
            <w:vAlign w:val="center"/>
            <w:textDirection w:val="lrTb"/>
            <w:noWrap w:val="false"/>
          </w:tcPr>
          <w:p>
            <w:pPr>
              <w:ind w:right="57"/>
              <w:spacing w:after="120" w:before="120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C12.4 : Formuler un compte-rendu, un rapport d’activité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3153" w:type="dxa"/>
            <w:vAlign w:val="center"/>
            <w:textDirection w:val="lrTb"/>
            <w:noWrap w:val="false"/>
          </w:tcPr>
          <w:p>
            <w:pPr>
              <w:pStyle w:val="682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 -Le compte-rendu est factuel et complet </w:t>
            </w:r>
            <w:r/>
          </w:p>
          <w:p>
            <w:pPr>
              <w:pStyle w:val="682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 -Les formules de civilités sont adaptées à la situation 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  <w:lang w:bidi="fr-FR"/>
              </w:rPr>
              <w:t xml:space="preserve"> -</w:t>
            </w:r>
            <w:r>
              <w:rPr>
                <w:rFonts w:ascii="Arial" w:hAnsi="Arial" w:cs="Arial" w:eastAsia="Arial"/>
                <w:sz w:val="18"/>
                <w:szCs w:val="18"/>
              </w:rPr>
              <w:t xml:space="preserve">Le support de communication est adapté à la situation 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 - L’utilisation de l’outil de communication est maîtrisée 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  <w:t xml:space="preserve"> -Les documents sont transmis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5353" w:type="dxa"/>
            <w:vAlign w:val="center"/>
            <w:textDirection w:val="lrTb"/>
            <w:noWrap w:val="false"/>
          </w:tcPr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S8.1 La communication orale</w:t>
            </w:r>
            <w:r/>
          </w:p>
          <w:p>
            <w:pPr>
              <w:ind w:right="187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Arial"/>
                <w:color w:val="000000"/>
                <w:sz w:val="18"/>
                <w:szCs w:val="18"/>
              </w:rPr>
              <w:t xml:space="preserve">S8.2 les outils de la communication écrite et numérique</w:t>
            </w:r>
            <w:r/>
          </w:p>
          <w:p>
            <w:pPr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  <w:p>
            <w:pPr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  <w:p>
            <w:pPr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  <w:p>
            <w:pPr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  <w:p>
            <w:pPr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  <w:p>
            <w:pPr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  <w:p>
            <w:pPr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  <w:p>
            <w:pPr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  <w:p>
            <w:pPr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  <w:p>
            <w:pPr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  <w:p>
            <w:pPr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  <w:p>
            <w:pPr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  <w:p>
            <w:pPr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  <w:p>
            <w:pPr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sz w:val="18"/>
                <w:szCs w:val="18"/>
              </w:rPr>
            </w:r>
            <w:r/>
          </w:p>
        </w:tc>
      </w:tr>
      <w:tr>
        <w:trPr>
          <w:trHeight w:val="305"/>
        </w:trPr>
        <w:tc>
          <w:tcPr>
            <w:gridSpan w:val="5"/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0936" w:type="dxa"/>
            <w:vAlign w:val="center"/>
            <w:textDirection w:val="lrTb"/>
            <w:noWrap w:val="false"/>
          </w:tcPr>
          <w:p>
            <w:pPr>
              <w:jc w:val="center"/>
              <w:pageBreakBefore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Prérequis des élèves</w:t>
            </w:r>
            <w:r/>
          </w:p>
          <w:p>
            <w:pPr>
              <w:jc w:val="center"/>
              <w:pageBreakBefore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r>
            <w:r/>
          </w:p>
        </w:tc>
      </w:tr>
      <w:tr>
        <w:trPr>
          <w:trHeight w:val="649"/>
        </w:trPr>
        <w:tc>
          <w:tcPr>
            <w:gridSpan w:val="5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W w:w="109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 Connaissance du projet</w:t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Préparation de la réalisation</w:t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Réalisation de l’installation</w:t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Outillage, matériels et matériaux</w:t>
            </w:r>
            <w:r/>
          </w:p>
          <w:p>
            <w:pPr>
              <w:jc w:val="center"/>
              <w:rPr>
                <w:rFonts w:ascii="Arial" w:hAnsi="Arial" w:cs="Arial" w:eastAsia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Calibri"/>
                <w:color w:val="000000"/>
                <w:sz w:val="18"/>
                <w:szCs w:val="18"/>
              </w:rPr>
            </w:r>
            <w:r/>
          </w:p>
        </w:tc>
      </w:tr>
    </w:tbl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tbl>
      <w:tblPr>
        <w:tblStyle w:val="680"/>
        <w:tblW w:w="11011" w:type="dxa"/>
        <w:tblInd w:w="-34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5152"/>
        <w:gridCol w:w="5859"/>
      </w:tblGrid>
      <w:tr>
        <w:trPr>
          <w:trHeight w:val="410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12" w:space="0"/>
              <w:right w:val="single" w:color="000001" w:sz="12" w:space="0"/>
              <w:bottom w:val="single" w:color="000001" w:sz="6" w:space="0"/>
            </w:tcBorders>
            <w:tcW w:w="11011" w:type="dxa"/>
            <w:vAlign w:val="center"/>
            <w:textDirection w:val="lrTb"/>
            <w:noWrap w:val="false"/>
          </w:tcPr>
          <w:p>
            <w:pPr>
              <w:ind w:left="360"/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Présentation du contexte professionnel</w:t>
            </w:r>
            <w:r/>
          </w:p>
        </w:tc>
      </w:tr>
      <w:tr>
        <w:trPr>
          <w:trHeight w:val="520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1011" w:type="dxa"/>
            <w:vAlign w:val="center"/>
            <w:textDirection w:val="lrTb"/>
            <w:noWrap w:val="false"/>
          </w:tcPr>
          <w:p>
            <w:pPr>
              <w:pStyle w:val="600"/>
              <w:numPr>
                <w:ilvl w:val="0"/>
                <w:numId w:val="2"/>
              </w:numPr>
              <w:ind w:left="283"/>
              <w:spacing w:after="40"/>
              <w:tabs>
                <w:tab w:val="left" w:pos="0" w:leader="none"/>
              </w:tabs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 w:val="false"/>
                <w:bCs/>
                <w:iCs/>
                <w:color w:val="000000"/>
                <w:sz w:val="22"/>
                <w:szCs w:val="22"/>
              </w:rPr>
              <w:t xml:space="preserve">Après avoir réglé les différentes consignes de la centrale de traitement d’air, le client vous avertit que la température ambiante est anormalement élevée.</w:t>
            </w:r>
            <w:r/>
          </w:p>
        </w:tc>
      </w:tr>
      <w:tr>
        <w:trPr>
          <w:trHeight w:val="296"/>
        </w:trPr>
        <w:tc>
          <w:tcPr>
            <w:gridSpan w:val="2"/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101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Éléments à retenir</w:t>
            </w:r>
            <w:r/>
          </w:p>
        </w:tc>
      </w:tr>
      <w:tr>
        <w:trPr>
          <w:trHeight w:val="580"/>
        </w:trPr>
        <w:tc>
          <w:tcPr>
            <w:gridSpan w:val="2"/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1011" w:type="dxa"/>
            <w:textDirection w:val="lrTb"/>
            <w:noWrap w:val="false"/>
          </w:tcPr>
          <w:p>
            <w:pPr>
              <w:jc w:val="center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  <w:u w:val="single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  <w:u w:val="single"/>
              </w:rPr>
              <w:t xml:space="preserve">A l’issue de la séquence, l’élève sera capable de :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Vérifier un diagnostic 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Remplacer le compresseur d’un groupe d’eau glacée 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Calibri" w:hAnsi="Calibri" w:cs="Calibri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Réaliser la remise en service de la centrale de traitement d’air</w:t>
            </w:r>
            <w:r/>
          </w:p>
          <w:p>
            <w:pPr>
              <w:numPr>
                <w:ilvl w:val="0"/>
                <w:numId w:val="1"/>
              </w:numPr>
              <w:contextualSpacing w:val="true"/>
              <w:spacing w:lineRule="auto" w:line="276"/>
              <w:widowControl w:val="off"/>
              <w:rPr>
                <w:rFonts w:ascii="Arial" w:hAnsi="Arial" w:cs="Arial" w:eastAsia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000000"/>
                <w:sz w:val="18"/>
                <w:szCs w:val="18"/>
              </w:rPr>
              <w:t xml:space="preserve">Rendre compte de son intervention</w:t>
            </w:r>
            <w:r/>
          </w:p>
        </w:tc>
      </w:tr>
      <w:tr>
        <w:trPr>
          <w:trHeight w:val="440"/>
        </w:trPr>
        <w:tc>
          <w:tcPr>
            <w:shd w:val="clear" w:color="auto" w:fill="B7DDE8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W w:w="515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Liens avec les autres disciplines</w:t>
            </w:r>
            <w:r/>
          </w:p>
        </w:tc>
        <w:tc>
          <w:tcPr>
            <w:shd w:val="clear" w:color="auto" w:fill="B7DDE8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585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22"/>
                <w:szCs w:val="22"/>
              </w:rPr>
              <w:t xml:space="preserve">Modalités d’évaluation</w:t>
            </w:r>
            <w:r/>
          </w:p>
        </w:tc>
      </w:tr>
      <w:tr>
        <w:trPr>
          <w:trHeight w:val="483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12" w:space="0"/>
            </w:tcBorders>
            <w:tcW w:w="515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Prévention Santé Environnement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12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5859" w:type="dxa"/>
            <w:textDirection w:val="lrTb"/>
            <w:noWrap w:val="false"/>
          </w:tcPr>
          <w:p>
            <w:pPr>
              <w:jc w:val="both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</w:r>
            <w:r/>
          </w:p>
          <w:p>
            <w:pPr>
              <w:jc w:val="center"/>
              <w:rPr>
                <w:rFonts w:ascii="Calibri" w:hAnsi="Calibri" w:cs="Calibri" w:eastAsia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color w:val="000000"/>
                <w:sz w:val="18"/>
                <w:szCs w:val="18"/>
              </w:rPr>
              <w:t xml:space="preserve">Évaluation formative</w:t>
            </w:r>
            <w:r/>
          </w:p>
        </w:tc>
      </w:tr>
    </w:tbl>
    <w:p>
      <w:r/>
      <w:r/>
    </w:p>
    <w:tbl>
      <w:tblPr>
        <w:tblStyle w:val="680"/>
        <w:tblW w:w="11011" w:type="dxa"/>
        <w:tblInd w:w="-34" w:type="dxa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2410"/>
        <w:gridCol w:w="1560"/>
        <w:gridCol w:w="2693"/>
        <w:gridCol w:w="1843"/>
        <w:gridCol w:w="2505"/>
      </w:tblGrid>
      <w:tr>
        <w:trPr>
          <w:trHeight w:val="389"/>
        </w:trPr>
        <w:tc>
          <w:tcPr>
            <w:gridSpan w:val="5"/>
            <w:shd w:val="clear" w:color="auto" w:fill="CCC0D9" w:themeFill="accent4" w:themeFillTint="66"/>
            <w:tcBorders>
              <w:left w:val="single" w:color="000001" w:sz="12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W w:w="1101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Arial" w:hAnsi="Arial" w:cs="Arial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="Calibri"/>
                <w:b/>
                <w:color w:val="000000"/>
                <w:sz w:val="18"/>
                <w:szCs w:val="18"/>
              </w:rPr>
              <w:t xml:space="preserve">Déroulement de la séquence</w:t>
            </w:r>
            <w:r/>
          </w:p>
        </w:tc>
      </w:tr>
      <w:tr>
        <w:trPr>
          <w:trHeight w:val="500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1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Questionnement pour mettre en réflexion les élèves 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5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Démarche pédagogique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26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Activités élèves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184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Ressources – Matériels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50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Calibri" w:eastAsia="Calibri"/>
                <w:b/>
                <w:color w:val="000000"/>
                <w:sz w:val="18"/>
                <w:szCs w:val="18"/>
              </w:rPr>
              <w:t xml:space="preserve">Conclusion - Bilan</w:t>
            </w:r>
            <w:r/>
          </w:p>
        </w:tc>
      </w:tr>
      <w:tr>
        <w:trPr>
          <w:trHeight w:val="1778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10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Comment identifier la cause du dysfonctionnement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560" w:type="dxa"/>
            <w:vAlign w:val="center"/>
            <w:textDirection w:val="lrTb"/>
            <w:noWrap w:val="false"/>
          </w:tcPr>
          <w:p>
            <w:pPr>
              <w:ind w:left="93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Méthode active ou de découverte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2693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Questionner le client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Désigner le compresseur comme étant probablement la cause de l’augmentation de la température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Effectuer des tests sur le compresseur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Vérifier le fonctionnement du compresseur en testant les enroulements 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Identifier le compresseur comme étant la cause du dysfonctionnement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1843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Compresseur hors service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Multimètre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505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La démarche de l’élève lui permet de désigner le compresseur comme étant l’élément défectueux </w:t>
            </w:r>
            <w:r/>
          </w:p>
        </w:tc>
      </w:tr>
      <w:tr>
        <w:trPr>
          <w:trHeight w:val="1778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10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Comment réaliser l’intervention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560" w:type="dxa"/>
            <w:vAlign w:val="center"/>
            <w:textDirection w:val="lrTb"/>
            <w:noWrap w:val="false"/>
          </w:tcPr>
          <w:p>
            <w:pPr>
              <w:ind w:left="93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Méthode active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2693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Consigner les alimentations hydrauliques, électriques et fluidiques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Vidanger le circuit frigorifique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Déposer le compresseur en utilisant les outils adéquats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Installer le nouveau compresseur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Evacuer l’ancien compresseur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1843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Groupe d’eau glacée équipé de vannes de service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Coffret électrique alimentant le groupe d’eau glacée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Outillage 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EPI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505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La dépose et la pose du compresseur sont réalisées en suivant les étapes logiques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</w:tc>
      </w:tr>
      <w:tr>
        <w:trPr>
          <w:trHeight w:val="1778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10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Comment remettre en service l’installation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560" w:type="dxa"/>
            <w:vAlign w:val="center"/>
            <w:textDirection w:val="lrTb"/>
            <w:noWrap w:val="false"/>
          </w:tcPr>
          <w:p>
            <w:pPr>
              <w:ind w:left="93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Méthode active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2693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Déconsigner les alimentations hydrauliques, électriques et fluidiques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Remplir le circuit fluidique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Mettre en service la centrale de traitement d’air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Vérifier le fonctionnement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Evacuer les déchets générés par l’activité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1843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Centrale de traitement d’air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équipé d’un groupe d’eau glacée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Coffret électrique alimentant la centrale de traitement d’air équipé d’un groupe d’eau glacée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Outillage </w:t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</w:r>
            <w:r/>
          </w:p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EPI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505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La remise en service permet de vérifier le fonctionnement de l’installation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Le dysfonctionnement est résolu </w:t>
            </w:r>
            <w:r/>
          </w:p>
        </w:tc>
      </w:tr>
      <w:tr>
        <w:trPr>
          <w:trHeight w:val="1778"/>
        </w:trPr>
        <w:tc>
          <w:tcPr>
            <w:shd w:val="clear" w:color="auto" w:fill="auto"/>
            <w:tcBorders>
              <w:left w:val="single" w:color="000001" w:sz="12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410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Comment rendre compte de son intervention ?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31" w:type="dxa"/>
              <w:top w:w="0" w:type="auto"/>
              <w:right w:w="0" w:type="dxa"/>
              <w:bottom w:w="0" w:type="auto"/>
            </w:tcMar>
            <w:tcW w:w="1560" w:type="dxa"/>
            <w:vAlign w:val="center"/>
            <w:textDirection w:val="lrTb"/>
            <w:noWrap w:val="false"/>
          </w:tcPr>
          <w:p>
            <w:pPr>
              <w:ind w:left="93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Méthode active ou de découverte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24" w:type="dxa"/>
              <w:top w:w="0" w:type="auto"/>
              <w:right w:w="0" w:type="dxa"/>
              <w:bottom w:w="0" w:type="auto"/>
            </w:tcMar>
            <w:tcW w:w="2693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Établir un rapport d’intervention mentionnant :</w:t>
            </w:r>
            <w:r/>
          </w:p>
          <w:p>
            <w:pPr>
              <w:ind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 - la cause de dysfonctionnement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- Le remplacement du compresseur</w:t>
            </w:r>
            <w:r/>
          </w:p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- Le résultat obtenu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6" w:space="0"/>
              <w:bottom w:val="single" w:color="000001" w:sz="6" w:space="0"/>
            </w:tcBorders>
            <w:tcMar>
              <w:left w:w="10" w:type="dxa"/>
              <w:top w:w="0" w:type="auto"/>
              <w:right w:w="0" w:type="dxa"/>
              <w:bottom w:w="0" w:type="auto"/>
            </w:tcMar>
            <w:tcW w:w="1843" w:type="dxa"/>
            <w:vAlign w:val="center"/>
            <w:textDirection w:val="lrTb"/>
            <w:noWrap w:val="false"/>
          </w:tcPr>
          <w:p>
            <w:pPr>
              <w:ind w:left="132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Formulaire interne à l’entreprise</w:t>
            </w:r>
            <w:r/>
          </w:p>
        </w:tc>
        <w:tc>
          <w:tcPr>
            <w:shd w:val="clear" w:color="auto" w:fill="auto"/>
            <w:tcBorders>
              <w:left w:val="single" w:color="000001" w:sz="6" w:space="0"/>
              <w:top w:val="single" w:color="000001" w:sz="6" w:space="0"/>
              <w:right w:val="single" w:color="000001" w:sz="12" w:space="0"/>
              <w:bottom w:val="single" w:color="000001" w:sz="6" w:space="0"/>
            </w:tcBorders>
            <w:tcMar>
              <w:left w:w="38" w:type="dxa"/>
              <w:top w:w="0" w:type="auto"/>
              <w:right w:w="0" w:type="dxa"/>
              <w:bottom w:w="0" w:type="auto"/>
            </w:tcMar>
            <w:tcW w:w="2505" w:type="dxa"/>
            <w:vAlign w:val="center"/>
            <w:textDirection w:val="lrTb"/>
            <w:noWrap w:val="false"/>
          </w:tcPr>
          <w:p>
            <w:pPr>
              <w:ind w:left="45" w:right="74"/>
              <w:spacing w:after="120" w:before="120"/>
              <w:rPr>
                <w:rFonts w:ascii="Calibri" w:hAnsi="Calibri" w:cs="Calibri" w:eastAsia="Arial"/>
                <w:color w:val="auto"/>
                <w:sz w:val="18"/>
                <w:szCs w:val="18"/>
              </w:rPr>
            </w:pPr>
            <w:r>
              <w:rPr>
                <w:rFonts w:ascii="Calibri" w:hAnsi="Calibri" w:cs="Calibri" w:eastAsia="Arial"/>
                <w:color w:val="auto"/>
                <w:sz w:val="18"/>
                <w:szCs w:val="18"/>
              </w:rPr>
              <w:t xml:space="preserve">Le rapport permet de rendre compte de l’opération de dépannage</w:t>
            </w:r>
            <w:r/>
          </w:p>
        </w:tc>
      </w:tr>
    </w:tbl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</w:r>
      <w:r/>
    </w:p>
    <w:sectPr>
      <w:footerReference w:type="default" r:id="rId8"/>
      <w:footnotePr/>
      <w:type w:val="nextPage"/>
      <w:pgSz w:w="11906" w:h="16838" w:orient="portrait"/>
      <w:pgMar w:top="567" w:right="567" w:bottom="567" w:left="567" w:header="0" w:footer="0" w:gutter="0"/>
      <w:pgNumType w:start="1"/>
      <w:cols w:num="1" w:sep="0" w:space="720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OpenSymbol">
    <w:panose1 w:val="05010000000000000000"/>
  </w:font>
  <w:font w:name="Calibri">
    <w:panose1 w:val="020F0502020204030204"/>
  </w:font>
  <w:font w:name="Georgia">
    <w:panose1 w:val="02040502050405020303"/>
  </w:font>
  <w:font w:name="Tahoma">
    <w:panose1 w:val="020B0604030504040204"/>
  </w:font>
  <w:font w:name="Nunito">
    <w:panose1 w:val="020B0500000000000000"/>
  </w:font>
  <w:font w:name="Arial">
    <w:panose1 w:val="020B0604020202020204"/>
  </w:font>
  <w:font w:name="Liberation Sans">
    <w:panose1 w:val="020B0704020202020204"/>
  </w:font>
  <w:font w:name="Times New Roman">
    <w:panose1 w:val="020206030504050203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jc w:val="right"/>
      <w:tabs>
        <w:tab w:val="center" w:pos="7143" w:leader="none"/>
        <w:tab w:val="right" w:pos="14287" w:leader="none"/>
      </w:tabs>
      <w:rPr>
        <w:sz w:val="20"/>
        <w:szCs w:val="20"/>
      </w:rPr>
    </w:pPr>
    <w:r>
      <w:rPr>
        <w:sz w:val="20"/>
        <w:szCs w:val="20"/>
      </w:rPr>
      <w:t xml:space="preserve">Projet GS TILLON – Etape 4 – Centrale de Traitement RNR M2E - Page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\* Arabic  \* MERGEFORMAT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15</w:t>
    </w:r>
    <w:r>
      <w:rPr>
        <w:sz w:val="20"/>
        <w:szCs w:val="20"/>
      </w:rPr>
      <w:fldChar w:fldCharType="end"/>
    </w:r>
    <w:r>
      <w:rPr>
        <w:sz w:val="20"/>
        <w:szCs w:val="20"/>
      </w:rPr>
      <w:t xml:space="preserve">/</w:t>
    </w:r>
    <w:fldSimple w:instr="NUMPAGES \* MERGEFORMAT">
      <w:r>
        <w:rPr>
          <w:sz w:val="20"/>
          <w:szCs w:val="20"/>
        </w:rPr>
        <w:t xml:space="preserve">15</w:t>
      </w:r>
    </w:fldSimple>
    <w:r>
      <w:rPr>
        <w:sz w:val="20"/>
        <w:szCs w:val="20"/>
      </w:rPr>
    </w:r>
    <w:r/>
  </w:p>
  <w:p>
    <w:pPr>
      <w:pStyle w:val="47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"/>
      <w:lvlJc w:val="left"/>
      <w:pPr>
        <w:ind w:left="0" w:firstLine="0"/>
      </w:pPr>
    </w:lvl>
    <w:lvl w:ilvl="1">
      <w:start w:val="1"/>
      <w:numFmt w:val="decimal"/>
      <w:isLgl w:val="false"/>
      <w:suff w:val="tab"/>
      <w:lvlText w:val=""/>
      <w:lvlJc w:val="left"/>
      <w:pPr>
        <w:ind w:left="0" w:firstLine="0"/>
      </w:pPr>
    </w:lvl>
    <w:lvl w:ilvl="2">
      <w:start w:val="1"/>
      <w:numFmt w:val="decimal"/>
      <w:isLgl w:val="false"/>
      <w:suff w:val="tab"/>
      <w:lvlText w:val=""/>
      <w:lvlJc w:val="left"/>
      <w:pPr>
        <w:ind w:left="0" w:firstLine="0"/>
      </w:pPr>
    </w:lvl>
    <w:lvl w:ilvl="3">
      <w:start w:val="1"/>
      <w:numFmt w:val="decimal"/>
      <w:isLgl w:val="false"/>
      <w:suff w:val="tab"/>
      <w:lvlText w:val=""/>
      <w:lvlJc w:val="left"/>
      <w:pPr>
        <w:ind w:left="0" w:firstLine="0"/>
      </w:pPr>
    </w:lvl>
    <w:lvl w:ilvl="4">
      <w:start w:val="1"/>
      <w:numFmt w:val="decimal"/>
      <w:isLgl w:val="false"/>
      <w:suff w:val="tab"/>
      <w:lvlText w:val=""/>
      <w:lvlJc w:val="left"/>
      <w:pPr>
        <w:ind w:left="0" w:firstLine="0"/>
      </w:pPr>
    </w:lvl>
    <w:lvl w:ilvl="5">
      <w:start w:val="1"/>
      <w:numFmt w:val="decimal"/>
      <w:isLgl w:val="false"/>
      <w:suff w:val="tab"/>
      <w:lvlText w:val=""/>
      <w:lvlJc w:val="left"/>
      <w:pPr>
        <w:ind w:left="0" w:firstLine="0"/>
      </w:pPr>
    </w:lvl>
    <w:lvl w:ilvl="6">
      <w:start w:val="1"/>
      <w:numFmt w:val="decimal"/>
      <w:isLgl w:val="false"/>
      <w:suff w:val="tab"/>
      <w:lvlText w:val=""/>
      <w:lvlJc w:val="left"/>
      <w:pPr>
        <w:ind w:left="0" w:firstLine="0"/>
      </w:pPr>
    </w:lvl>
    <w:lvl w:ilvl="7">
      <w:start w:val="1"/>
      <w:numFmt w:val="decimal"/>
      <w:isLgl w:val="false"/>
      <w:suff w:val="tab"/>
      <w:lvlText w:val=""/>
      <w:lvlJc w:val="left"/>
      <w:pPr>
        <w:ind w:left="0" w:firstLine="0"/>
      </w:pPr>
    </w:lvl>
    <w:lvl w:ilvl="8">
      <w:start w:val="1"/>
      <w:numFmt w:val="decimal"/>
      <w:isLgl w:val="false"/>
      <w:suff w:val="tab"/>
      <w:lvlText w:val=""/>
      <w:lvlJc w:val="left"/>
      <w:pPr>
        <w:ind w:left="0" w:firstLine="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ascii="OpenSymbol" w:hAnsi="OpenSymbol" w:cs="OpenSymbol" w:hint="default"/>
        <w:sz w:val="16"/>
        <w:u w:val="no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ascii="OpenSymbol" w:hAnsi="OpenSymbol" w:cs="OpenSymbol" w:hint="default"/>
        <w:sz w:val="16"/>
        <w:u w:val="none"/>
      </w:rPr>
    </w:lvl>
    <w:lvl w:ilvl="1">
      <w:start w:val="1"/>
      <w:numFmt w:val="bullet"/>
      <w:isLgl w:val="false"/>
      <w:suff w:val="tab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isLgl w:val="false"/>
      <w:suff w:val="tab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isLgl w:val="false"/>
      <w:suff w:val="tab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isLgl w:val="false"/>
      <w:suff w:val="tab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isLgl w:val="false"/>
      <w:suff w:val="tab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isLgl w:val="false"/>
      <w:suff w:val="tab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isLgl w:val="false"/>
      <w:suff w:val="tab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isLgl w:val="false"/>
      <w:suff w:val="tab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ascii="Arial" w:hAnsi="Arial" w:cs="Arial" w:eastAsia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ascii="Arial" w:hAnsi="Arial" w:cs="Arial" w:eastAsia="Arial" w:hint="default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multiLevelType w:val="hybridMultilevel"/>
    <w:lvl w:ilvl="0">
      <w:start w:val="3"/>
      <w:numFmt w:val="bullet"/>
      <w:isLgl w:val="false"/>
      <w:suff w:val="tab"/>
      <w:lvlText w:val="-"/>
      <w:lvlJc w:val="left"/>
      <w:pPr>
        <w:ind w:left="720" w:hanging="360"/>
      </w:pPr>
      <w:rPr>
        <w:rFonts w:ascii="Times New Roman" w:hAnsi="Times New Roman" w:hint="default"/>
        <w:color w:val="auto"/>
        <w:sz w:val="20"/>
        <w:szCs w:val="22"/>
        <w:lang w:val="fr-FR" w:bidi="fr-FR" w:eastAsia="fr-FR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</w:pPr>
    </w:lvl>
  </w:abstractNum>
  <w:abstractNum w:abstractNumId="8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ascii="Arial" w:hAnsi="Arial" w:cs="Arial" w:eastAsia="Arial" w:hint="default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7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687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407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127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847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567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287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007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7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9"/>
  </w:num>
  <w:num w:numId="9">
    <w:abstractNumId w:val="5"/>
  </w:num>
  <w:num w:numId="10">
    <w:abstractNumId w:val="10"/>
  </w:num>
  <w:num w:numId="11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cs="Times New Roman" w:eastAsia="Times New Roman"/>
        <w:color w:val="00000A"/>
        <w:spacing w:val="0"/>
        <w:position w:val="0"/>
        <w:sz w:val="24"/>
        <w:szCs w:val="24"/>
        <w:lang w:val="fr-FR" w:bidi="ar-SA" w:eastAsia="fr-FR"/>
      </w:rPr>
    </w:rPrDefault>
    <w:pPrDefault>
      <w:pPr>
        <w:ind w:left="0" w:right="0" w:firstLine="0"/>
        <w:jc w:val="left"/>
        <w:spacing w:lineRule="auto" w:line="240" w:after="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18" w:default="1">
    <w:name w:val="Normal"/>
    <w:qFormat/>
  </w:style>
  <w:style w:type="paragraph" w:styleId="419">
    <w:name w:val="Heading 1"/>
    <w:basedOn w:val="418"/>
    <w:next w:val="418"/>
    <w:link w:val="609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paragraph" w:styleId="420">
    <w:name w:val="Heading 2"/>
    <w:basedOn w:val="418"/>
    <w:next w:val="418"/>
    <w:link w:val="463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paragraph" w:styleId="421">
    <w:name w:val="Heading 3"/>
    <w:basedOn w:val="418"/>
    <w:next w:val="418"/>
    <w:link w:val="464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paragraph" w:styleId="422">
    <w:name w:val="Heading 4"/>
    <w:basedOn w:val="418"/>
    <w:next w:val="418"/>
    <w:link w:val="465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paragraph" w:styleId="423">
    <w:name w:val="Heading 5"/>
    <w:basedOn w:val="418"/>
    <w:next w:val="418"/>
    <w:link w:val="466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after="200" w:before="320"/>
      <w:outlineLvl w:val="4"/>
    </w:pPr>
  </w:style>
  <w:style w:type="paragraph" w:styleId="424">
    <w:name w:val="Heading 6"/>
    <w:basedOn w:val="418"/>
    <w:next w:val="418"/>
    <w:link w:val="467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paragraph" w:styleId="425">
    <w:name w:val="Heading 7"/>
    <w:basedOn w:val="418"/>
    <w:next w:val="418"/>
    <w:link w:val="46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paragraph" w:styleId="426">
    <w:name w:val="Heading 8"/>
    <w:basedOn w:val="418"/>
    <w:next w:val="418"/>
    <w:link w:val="469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paragraph" w:styleId="427">
    <w:name w:val="Heading 9"/>
    <w:basedOn w:val="418"/>
    <w:next w:val="418"/>
    <w:link w:val="470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28" w:default="1">
    <w:name w:val="Default Paragraph Font"/>
    <w:uiPriority w:val="1"/>
    <w:semiHidden/>
    <w:unhideWhenUsed/>
  </w:style>
  <w:style w:type="table" w:styleId="42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30" w:default="1">
    <w:name w:val="No List"/>
    <w:uiPriority w:val="99"/>
    <w:semiHidden/>
    <w:unhideWhenUsed/>
  </w:style>
  <w:style w:type="character" w:styleId="431" w:customStyle="1">
    <w:name w:val="Heading 1 Char"/>
    <w:basedOn w:val="428"/>
    <w:uiPriority w:val="9"/>
    <w:rPr>
      <w:rFonts w:ascii="Arial" w:hAnsi="Arial" w:cs="Arial" w:eastAsia="Arial"/>
      <w:sz w:val="40"/>
      <w:szCs w:val="40"/>
    </w:rPr>
  </w:style>
  <w:style w:type="character" w:styleId="432" w:customStyle="1">
    <w:name w:val="Heading 2 Char"/>
    <w:basedOn w:val="428"/>
    <w:uiPriority w:val="9"/>
    <w:rPr>
      <w:rFonts w:ascii="Arial" w:hAnsi="Arial" w:cs="Arial" w:eastAsia="Arial"/>
      <w:sz w:val="34"/>
    </w:rPr>
  </w:style>
  <w:style w:type="character" w:styleId="433" w:customStyle="1">
    <w:name w:val="Heading 3 Char"/>
    <w:basedOn w:val="428"/>
    <w:uiPriority w:val="9"/>
    <w:rPr>
      <w:rFonts w:ascii="Arial" w:hAnsi="Arial" w:cs="Arial" w:eastAsia="Arial"/>
      <w:sz w:val="30"/>
      <w:szCs w:val="30"/>
    </w:rPr>
  </w:style>
  <w:style w:type="character" w:styleId="434" w:customStyle="1">
    <w:name w:val="Heading 4 Char"/>
    <w:basedOn w:val="428"/>
    <w:uiPriority w:val="9"/>
    <w:rPr>
      <w:rFonts w:ascii="Arial" w:hAnsi="Arial" w:cs="Arial" w:eastAsia="Arial"/>
      <w:b/>
      <w:bCs/>
      <w:sz w:val="26"/>
      <w:szCs w:val="26"/>
    </w:rPr>
  </w:style>
  <w:style w:type="character" w:styleId="435" w:customStyle="1">
    <w:name w:val="Heading 5 Char"/>
    <w:basedOn w:val="428"/>
    <w:uiPriority w:val="9"/>
    <w:rPr>
      <w:rFonts w:ascii="Arial" w:hAnsi="Arial" w:cs="Arial" w:eastAsia="Arial"/>
      <w:b/>
      <w:bCs/>
      <w:sz w:val="24"/>
      <w:szCs w:val="24"/>
    </w:rPr>
  </w:style>
  <w:style w:type="character" w:styleId="436" w:customStyle="1">
    <w:name w:val="Heading 6 Char"/>
    <w:basedOn w:val="428"/>
    <w:uiPriority w:val="9"/>
    <w:rPr>
      <w:rFonts w:ascii="Arial" w:hAnsi="Arial" w:cs="Arial" w:eastAsia="Arial"/>
      <w:b/>
      <w:bCs/>
      <w:sz w:val="22"/>
      <w:szCs w:val="22"/>
    </w:rPr>
  </w:style>
  <w:style w:type="character" w:styleId="437" w:customStyle="1">
    <w:name w:val="Heading 7 Char"/>
    <w:basedOn w:val="42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38" w:customStyle="1">
    <w:name w:val="Heading 8 Char"/>
    <w:basedOn w:val="428"/>
    <w:uiPriority w:val="9"/>
    <w:rPr>
      <w:rFonts w:ascii="Arial" w:hAnsi="Arial" w:cs="Arial" w:eastAsia="Arial"/>
      <w:i/>
      <w:iCs/>
      <w:sz w:val="22"/>
      <w:szCs w:val="22"/>
    </w:rPr>
  </w:style>
  <w:style w:type="character" w:styleId="439" w:customStyle="1">
    <w:name w:val="Heading 9 Char"/>
    <w:basedOn w:val="428"/>
    <w:uiPriority w:val="9"/>
    <w:rPr>
      <w:rFonts w:ascii="Arial" w:hAnsi="Arial" w:cs="Arial" w:eastAsia="Arial"/>
      <w:i/>
      <w:iCs/>
      <w:sz w:val="21"/>
      <w:szCs w:val="21"/>
    </w:rPr>
  </w:style>
  <w:style w:type="character" w:styleId="440" w:customStyle="1">
    <w:name w:val="Subtitle Char"/>
    <w:basedOn w:val="428"/>
    <w:uiPriority w:val="11"/>
    <w:rPr>
      <w:sz w:val="24"/>
      <w:szCs w:val="24"/>
    </w:rPr>
  </w:style>
  <w:style w:type="character" w:styleId="441" w:customStyle="1">
    <w:name w:val="Header Char"/>
    <w:basedOn w:val="428"/>
    <w:uiPriority w:val="99"/>
  </w:style>
  <w:style w:type="character" w:styleId="442" w:customStyle="1">
    <w:name w:val="Caption Char"/>
    <w:uiPriority w:val="99"/>
  </w:style>
  <w:style w:type="table" w:styleId="443">
    <w:name w:val="Plain Table 1"/>
    <w:basedOn w:val="429"/>
    <w:uiPriority w:val="59"/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44">
    <w:name w:val="Plain Table 2"/>
    <w:basedOn w:val="429"/>
    <w:uiPriority w:val="59"/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45">
    <w:name w:val="Plain Table 3"/>
    <w:basedOn w:val="429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46">
    <w:name w:val="Plain Table 4"/>
    <w:basedOn w:val="429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47">
    <w:name w:val="Plain Table 5"/>
    <w:basedOn w:val="429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48">
    <w:name w:val="Grid Table 1 Light"/>
    <w:basedOn w:val="429"/>
    <w:uiPriority w:val="99"/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49">
    <w:name w:val="Grid Table 2"/>
    <w:basedOn w:val="429"/>
    <w:uiPriority w:val="99"/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50">
    <w:name w:val="Grid Table 3"/>
    <w:basedOn w:val="429"/>
    <w:uiPriority w:val="99"/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1">
    <w:name w:val="Grid Table 4"/>
    <w:basedOn w:val="429"/>
    <w:uiPriority w:val="59"/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452">
    <w:name w:val="Grid Table 5 Dark"/>
    <w:basedOn w:val="429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453">
    <w:name w:val="Grid Table 6 Colorful"/>
    <w:basedOn w:val="429"/>
    <w:uiPriority w:val="99"/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454">
    <w:name w:val="Grid Table 7 Colorful"/>
    <w:basedOn w:val="429"/>
    <w:uiPriority w:val="99"/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455">
    <w:name w:val="List Table 1 Light"/>
    <w:basedOn w:val="429"/>
    <w:uiPriority w:val="99"/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456">
    <w:name w:val="List Table 2"/>
    <w:basedOn w:val="429"/>
    <w:uiPriority w:val="99"/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457">
    <w:name w:val="List Table 3"/>
    <w:basedOn w:val="429"/>
    <w:uiPriority w:val="99"/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58">
    <w:name w:val="List Table 4"/>
    <w:basedOn w:val="429"/>
    <w:uiPriority w:val="99"/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59">
    <w:name w:val="List Table 5 Dark"/>
    <w:basedOn w:val="429"/>
    <w:uiPriority w:val="99"/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460">
    <w:name w:val="List Table 6 Colorful"/>
    <w:basedOn w:val="429"/>
    <w:uiPriority w:val="99"/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461">
    <w:name w:val="List Table 7 Colorful"/>
    <w:basedOn w:val="429"/>
    <w:uiPriority w:val="99"/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character" w:styleId="462" w:customStyle="1">
    <w:name w:val="Footnote Text Char"/>
    <w:uiPriority w:val="99"/>
    <w:rPr>
      <w:sz w:val="18"/>
    </w:rPr>
  </w:style>
  <w:style w:type="character" w:styleId="463" w:customStyle="1">
    <w:name w:val="Titre 2 Car1"/>
    <w:basedOn w:val="428"/>
    <w:link w:val="420"/>
    <w:uiPriority w:val="9"/>
    <w:rPr>
      <w:rFonts w:ascii="Arial" w:hAnsi="Arial" w:cs="Arial" w:eastAsia="Arial"/>
      <w:sz w:val="34"/>
    </w:rPr>
  </w:style>
  <w:style w:type="character" w:styleId="464" w:customStyle="1">
    <w:name w:val="Titre 3 Car1"/>
    <w:basedOn w:val="428"/>
    <w:link w:val="421"/>
    <w:uiPriority w:val="9"/>
    <w:rPr>
      <w:rFonts w:ascii="Arial" w:hAnsi="Arial" w:cs="Arial" w:eastAsia="Arial"/>
      <w:sz w:val="30"/>
      <w:szCs w:val="30"/>
    </w:rPr>
  </w:style>
  <w:style w:type="character" w:styleId="465" w:customStyle="1">
    <w:name w:val="Titre 4 Car1"/>
    <w:basedOn w:val="428"/>
    <w:link w:val="422"/>
    <w:uiPriority w:val="9"/>
    <w:rPr>
      <w:rFonts w:ascii="Arial" w:hAnsi="Arial" w:cs="Arial" w:eastAsia="Arial"/>
      <w:b/>
      <w:bCs/>
      <w:sz w:val="26"/>
      <w:szCs w:val="26"/>
    </w:rPr>
  </w:style>
  <w:style w:type="character" w:styleId="466" w:customStyle="1">
    <w:name w:val="Titre 5 Car1"/>
    <w:basedOn w:val="428"/>
    <w:link w:val="423"/>
    <w:uiPriority w:val="9"/>
    <w:rPr>
      <w:rFonts w:ascii="Arial" w:hAnsi="Arial" w:cs="Arial" w:eastAsia="Arial"/>
      <w:b/>
      <w:bCs/>
      <w:sz w:val="24"/>
      <w:szCs w:val="24"/>
    </w:rPr>
  </w:style>
  <w:style w:type="character" w:styleId="467" w:customStyle="1">
    <w:name w:val="Titre 6 Car1"/>
    <w:basedOn w:val="428"/>
    <w:link w:val="424"/>
    <w:uiPriority w:val="9"/>
    <w:rPr>
      <w:rFonts w:ascii="Arial" w:hAnsi="Arial" w:cs="Arial" w:eastAsia="Arial"/>
      <w:b/>
      <w:bCs/>
      <w:sz w:val="22"/>
      <w:szCs w:val="22"/>
    </w:rPr>
  </w:style>
  <w:style w:type="character" w:styleId="468" w:customStyle="1">
    <w:name w:val="Titre 7 Car1"/>
    <w:basedOn w:val="428"/>
    <w:link w:val="425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69" w:customStyle="1">
    <w:name w:val="Titre 8 Car1"/>
    <w:basedOn w:val="428"/>
    <w:link w:val="426"/>
    <w:uiPriority w:val="9"/>
    <w:rPr>
      <w:rFonts w:ascii="Arial" w:hAnsi="Arial" w:cs="Arial" w:eastAsia="Arial"/>
      <w:i/>
      <w:iCs/>
      <w:sz w:val="22"/>
      <w:szCs w:val="22"/>
    </w:rPr>
  </w:style>
  <w:style w:type="character" w:styleId="470" w:customStyle="1">
    <w:name w:val="Titre 9 Car1"/>
    <w:basedOn w:val="428"/>
    <w:link w:val="427"/>
    <w:uiPriority w:val="9"/>
    <w:rPr>
      <w:rFonts w:ascii="Arial" w:hAnsi="Arial" w:cs="Arial" w:eastAsia="Arial"/>
      <w:i/>
      <w:iCs/>
      <w:sz w:val="21"/>
      <w:szCs w:val="21"/>
    </w:rPr>
  </w:style>
  <w:style w:type="character" w:styleId="471" w:customStyle="1">
    <w:name w:val="Title Char"/>
    <w:basedOn w:val="428"/>
    <w:uiPriority w:val="10"/>
    <w:rPr>
      <w:sz w:val="48"/>
      <w:szCs w:val="48"/>
    </w:rPr>
  </w:style>
  <w:style w:type="character" w:styleId="472" w:customStyle="1">
    <w:name w:val="Sous-titre Car1"/>
    <w:basedOn w:val="428"/>
    <w:link w:val="653"/>
    <w:uiPriority w:val="11"/>
    <w:rPr>
      <w:sz w:val="24"/>
      <w:szCs w:val="24"/>
    </w:rPr>
  </w:style>
  <w:style w:type="character" w:styleId="473" w:customStyle="1">
    <w:name w:val="Quote Char"/>
    <w:uiPriority w:val="29"/>
    <w:rPr>
      <w:i/>
    </w:rPr>
  </w:style>
  <w:style w:type="character" w:styleId="474" w:customStyle="1">
    <w:name w:val="Intense Quote Char"/>
    <w:uiPriority w:val="30"/>
    <w:rPr>
      <w:i/>
    </w:rPr>
  </w:style>
  <w:style w:type="paragraph" w:styleId="475">
    <w:name w:val="Header"/>
    <w:basedOn w:val="418"/>
    <w:link w:val="476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476" w:customStyle="1">
    <w:name w:val="En-tête Car1"/>
    <w:basedOn w:val="428"/>
    <w:link w:val="475"/>
    <w:uiPriority w:val="99"/>
  </w:style>
  <w:style w:type="paragraph" w:styleId="477">
    <w:name w:val="Footer"/>
    <w:basedOn w:val="418"/>
    <w:link w:val="480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478" w:customStyle="1">
    <w:name w:val="Footer Char"/>
    <w:basedOn w:val="428"/>
    <w:uiPriority w:val="99"/>
  </w:style>
  <w:style w:type="paragraph" w:styleId="479">
    <w:name w:val="Caption"/>
    <w:basedOn w:val="418"/>
    <w:next w:val="418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80" w:customStyle="1">
    <w:name w:val="Pied de page Car1"/>
    <w:link w:val="477"/>
    <w:uiPriority w:val="99"/>
  </w:style>
  <w:style w:type="table" w:styleId="481" w:customStyle="1">
    <w:name w:val="Table Grid Light"/>
    <w:basedOn w:val="429"/>
    <w:uiPriority w:val="59"/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482" w:customStyle="1">
    <w:name w:val="Tableau simple 11"/>
    <w:basedOn w:val="429"/>
    <w:uiPriority w:val="59"/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3" w:customStyle="1">
    <w:name w:val="Tableau simple 21"/>
    <w:basedOn w:val="429"/>
    <w:uiPriority w:val="59"/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4" w:customStyle="1">
    <w:name w:val="Tableau simple 31"/>
    <w:basedOn w:val="429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5" w:customStyle="1">
    <w:name w:val="Tableau simple 41"/>
    <w:basedOn w:val="429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 w:customStyle="1">
    <w:name w:val="Tableau simple 51"/>
    <w:basedOn w:val="429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7" w:customStyle="1">
    <w:name w:val="Tableau Grille 1 Clair1"/>
    <w:basedOn w:val="429"/>
    <w:uiPriority w:val="99"/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 w:customStyle="1">
    <w:name w:val="Grid Table 1 Light - Accent 1"/>
    <w:basedOn w:val="429"/>
    <w:uiPriority w:val="99"/>
    <w:tblPr>
      <w:tblStyleRowBandSize w:val="1"/>
      <w:tblStyleColBandSize w:val="1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 w:customStyle="1">
    <w:name w:val="Grid Table 1 Light - Accent 2"/>
    <w:basedOn w:val="429"/>
    <w:uiPriority w:val="99"/>
    <w:tblPr>
      <w:tblStyleRowBandSize w:val="1"/>
      <w:tblStyleColBandSize w:val="1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 w:customStyle="1">
    <w:name w:val="Grid Table 1 Light - Accent 3"/>
    <w:basedOn w:val="429"/>
    <w:uiPriority w:val="99"/>
    <w:tblPr>
      <w:tblStyleRowBandSize w:val="1"/>
      <w:tblStyleColBandSize w:val="1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 w:customStyle="1">
    <w:name w:val="Grid Table 1 Light - Accent 4"/>
    <w:basedOn w:val="429"/>
    <w:uiPriority w:val="99"/>
    <w:tblPr>
      <w:tblStyleRowBandSize w:val="1"/>
      <w:tblStyleColBandSize w:val="1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 w:customStyle="1">
    <w:name w:val="Grid Table 1 Light - Accent 5"/>
    <w:basedOn w:val="429"/>
    <w:uiPriority w:val="99"/>
    <w:tblPr>
      <w:tblStyleRowBandSize w:val="1"/>
      <w:tblStyleColBandSize w:val="1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 w:customStyle="1">
    <w:name w:val="Grid Table 1 Light - Accent 6"/>
    <w:basedOn w:val="429"/>
    <w:uiPriority w:val="99"/>
    <w:tblPr>
      <w:tblStyleRowBandSize w:val="1"/>
      <w:tblStyleColBandSize w:val="1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4" w:customStyle="1">
    <w:name w:val="Tableau Grille 21"/>
    <w:basedOn w:val="429"/>
    <w:uiPriority w:val="99"/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5" w:customStyle="1">
    <w:name w:val="Grid Table 2 - Accent 1"/>
    <w:basedOn w:val="429"/>
    <w:uiPriority w:val="99"/>
    <w:tblPr>
      <w:tblStyleRowBandSize w:val="1"/>
      <w:tblStyleColBandSize w:val="1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6" w:customStyle="1">
    <w:name w:val="Grid Table 2 - Accent 2"/>
    <w:basedOn w:val="429"/>
    <w:uiPriority w:val="99"/>
    <w:tblPr>
      <w:tblStyleRowBandSize w:val="1"/>
      <w:tblStyleColBandSize w:val="1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7" w:customStyle="1">
    <w:name w:val="Grid Table 2 - Accent 3"/>
    <w:basedOn w:val="429"/>
    <w:uiPriority w:val="99"/>
    <w:tblPr>
      <w:tblStyleRowBandSize w:val="1"/>
      <w:tblStyleColBandSize w:val="1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8" w:customStyle="1">
    <w:name w:val="Grid Table 2 - Accent 4"/>
    <w:basedOn w:val="429"/>
    <w:uiPriority w:val="99"/>
    <w:tblPr>
      <w:tblStyleRowBandSize w:val="1"/>
      <w:tblStyleColBandSize w:val="1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9" w:customStyle="1">
    <w:name w:val="Grid Table 2 - Accent 5"/>
    <w:basedOn w:val="429"/>
    <w:uiPriority w:val="99"/>
    <w:tblPr>
      <w:tblStyleRowBandSize w:val="1"/>
      <w:tblStyleColBandSize w:val="1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00" w:customStyle="1">
    <w:name w:val="Grid Table 2 - Accent 6"/>
    <w:basedOn w:val="429"/>
    <w:uiPriority w:val="99"/>
    <w:tblPr>
      <w:tblStyleRowBandSize w:val="1"/>
      <w:tblStyleColBandSize w:val="1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1" w:customStyle="1">
    <w:name w:val="Tableau Grille 31"/>
    <w:basedOn w:val="429"/>
    <w:uiPriority w:val="99"/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 w:customStyle="1">
    <w:name w:val="Grid Table 3 - Accent 1"/>
    <w:basedOn w:val="429"/>
    <w:uiPriority w:val="99"/>
    <w:tblPr>
      <w:tblStyleRowBandSize w:val="1"/>
      <w:tblStyleColBandSize w:val="1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 w:customStyle="1">
    <w:name w:val="Grid Table 3 - Accent 2"/>
    <w:basedOn w:val="429"/>
    <w:uiPriority w:val="99"/>
    <w:tblPr>
      <w:tblStyleRowBandSize w:val="1"/>
      <w:tblStyleColBandSize w:val="1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 w:customStyle="1">
    <w:name w:val="Grid Table 3 - Accent 3"/>
    <w:basedOn w:val="429"/>
    <w:uiPriority w:val="99"/>
    <w:tblPr>
      <w:tblStyleRowBandSize w:val="1"/>
      <w:tblStyleColBandSize w:val="1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 w:customStyle="1">
    <w:name w:val="Grid Table 3 - Accent 4"/>
    <w:basedOn w:val="429"/>
    <w:uiPriority w:val="99"/>
    <w:tblPr>
      <w:tblStyleRowBandSize w:val="1"/>
      <w:tblStyleColBandSize w:val="1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 w:customStyle="1">
    <w:name w:val="Grid Table 3 - Accent 5"/>
    <w:basedOn w:val="429"/>
    <w:uiPriority w:val="99"/>
    <w:tblPr>
      <w:tblStyleRowBandSize w:val="1"/>
      <w:tblStyleColBandSize w:val="1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 w:customStyle="1">
    <w:name w:val="Grid Table 3 - Accent 6"/>
    <w:basedOn w:val="429"/>
    <w:uiPriority w:val="99"/>
    <w:tblPr>
      <w:tblStyleRowBandSize w:val="1"/>
      <w:tblStyleColBandSize w:val="1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8" w:customStyle="1">
    <w:name w:val="Tableau Grille 41"/>
    <w:basedOn w:val="429"/>
    <w:uiPriority w:val="59"/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9" w:customStyle="1">
    <w:name w:val="Grid Table 4 - Accent 1"/>
    <w:basedOn w:val="429"/>
    <w:uiPriority w:val="59"/>
    <w:tblPr>
      <w:tblStyleRowBandSize w:val="1"/>
      <w:tblStyleColBandSize w:val="1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10" w:customStyle="1">
    <w:name w:val="Grid Table 4 - Accent 2"/>
    <w:basedOn w:val="429"/>
    <w:uiPriority w:val="59"/>
    <w:tblPr>
      <w:tblStyleRowBandSize w:val="1"/>
      <w:tblStyleColBandSize w:val="1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11" w:customStyle="1">
    <w:name w:val="Grid Table 4 - Accent 3"/>
    <w:basedOn w:val="429"/>
    <w:uiPriority w:val="59"/>
    <w:tblPr>
      <w:tblStyleRowBandSize w:val="1"/>
      <w:tblStyleColBandSize w:val="1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12" w:customStyle="1">
    <w:name w:val="Grid Table 4 - Accent 4"/>
    <w:basedOn w:val="429"/>
    <w:uiPriority w:val="59"/>
    <w:tblPr>
      <w:tblStyleRowBandSize w:val="1"/>
      <w:tblStyleColBandSize w:val="1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13" w:customStyle="1">
    <w:name w:val="Grid Table 4 - Accent 5"/>
    <w:basedOn w:val="429"/>
    <w:uiPriority w:val="59"/>
    <w:tblPr>
      <w:tblStyleRowBandSize w:val="1"/>
      <w:tblStyleColBandSize w:val="1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14" w:customStyle="1">
    <w:name w:val="Grid Table 4 - Accent 6"/>
    <w:basedOn w:val="429"/>
    <w:uiPriority w:val="59"/>
    <w:tblPr>
      <w:tblStyleRowBandSize w:val="1"/>
      <w:tblStyleColBandSize w:val="1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15" w:customStyle="1">
    <w:name w:val="Tableau Grille 5 Foncé1"/>
    <w:basedOn w:val="429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16" w:customStyle="1">
    <w:name w:val="Grid Table 5 Dark- Accent 1"/>
    <w:basedOn w:val="429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AE5F1" w:themeFill="accent1" w:themeFillTint="34"/>
    </w:tblPr>
    <w:tblStylePr w:type="band1Horz">
      <w:tcPr>
        <w:shd w:val="clear" w:color="auto" w:fill="AEC4E0" w:themeFill="accent1" w:themeFillTint="75"/>
      </w:tcPr>
    </w:tblStylePr>
    <w:tblStylePr w:type="band1Vert">
      <w:tcPr>
        <w:shd w:val="clear" w:color="auto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F81BD" w:themeFill="accent1"/>
        <w:tcBorders>
          <w:top w:val="single" w:color="FFFFFF" w:sz="4" w:space="0" w:themeColor="light1"/>
        </w:tcBorders>
      </w:tcPr>
    </w:tblStylePr>
  </w:style>
  <w:style w:type="table" w:styleId="517" w:customStyle="1">
    <w:name w:val="Grid Table 5 Dark - Accent 2"/>
    <w:basedOn w:val="429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2DCDC" w:themeFill="accent2" w:themeFillTint="32"/>
    </w:tblPr>
    <w:tblStylePr w:type="band1Horz">
      <w:tcPr>
        <w:shd w:val="clear" w:color="auto" w:fill="E2AEAD" w:themeFill="accent2" w:themeFillTint="75"/>
      </w:tcPr>
    </w:tblStylePr>
    <w:tblStylePr w:type="band1Vert">
      <w:tcPr>
        <w:shd w:val="clear" w:color="auto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C0504D" w:themeFill="accent2"/>
        <w:tcBorders>
          <w:top w:val="single" w:color="FFFFFF" w:sz="4" w:space="0" w:themeColor="light1"/>
        </w:tcBorders>
      </w:tcPr>
    </w:tblStylePr>
  </w:style>
  <w:style w:type="table" w:styleId="518" w:customStyle="1">
    <w:name w:val="Grid Table 5 Dark - Accent 3"/>
    <w:basedOn w:val="429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AF1DC" w:themeFill="accent3" w:themeFillTint="34"/>
    </w:tblPr>
    <w:tblStylePr w:type="band1Horz">
      <w:tcPr>
        <w:shd w:val="clear" w:color="auto" w:fill="D0DFB2" w:themeFill="accent3" w:themeFillTint="75"/>
      </w:tcPr>
    </w:tblStylePr>
    <w:tblStylePr w:type="band1Vert">
      <w:tcPr>
        <w:shd w:val="clear" w:color="auto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9BBB59" w:themeFill="accent3"/>
        <w:tcBorders>
          <w:top w:val="single" w:color="FFFFFF" w:sz="4" w:space="0" w:themeColor="light1"/>
        </w:tcBorders>
      </w:tcPr>
    </w:tblStylePr>
  </w:style>
  <w:style w:type="table" w:styleId="519" w:customStyle="1">
    <w:name w:val="Grid Table 5 Dark- Accent 4"/>
    <w:basedOn w:val="429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5DFEC" w:themeFill="accent4" w:themeFillTint="34"/>
    </w:tblPr>
    <w:tblStylePr w:type="band1Horz">
      <w:tcPr>
        <w:shd w:val="clear" w:color="auto" w:fill="C4B7D4" w:themeFill="accent4" w:themeFillTint="75"/>
      </w:tcPr>
    </w:tblStylePr>
    <w:tblStylePr w:type="band1Vert">
      <w:tcPr>
        <w:shd w:val="clear" w:color="auto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8064A2" w:themeFill="accent4"/>
        <w:tcBorders>
          <w:top w:val="single" w:color="FFFFFF" w:sz="4" w:space="0" w:themeColor="light1"/>
        </w:tcBorders>
      </w:tcPr>
    </w:tblStylePr>
  </w:style>
  <w:style w:type="table" w:styleId="520" w:customStyle="1">
    <w:name w:val="Grid Table 5 Dark - Accent 5"/>
    <w:basedOn w:val="429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AEEF3" w:themeFill="accent5" w:themeFillTint="34"/>
    </w:tblPr>
    <w:tblStylePr w:type="band1Horz">
      <w:tcPr>
        <w:shd w:val="clear" w:color="auto" w:fill="ACD8E4" w:themeFill="accent5" w:themeFillTint="75"/>
      </w:tcPr>
    </w:tblStylePr>
    <w:tblStylePr w:type="band1Vert">
      <w:tcPr>
        <w:shd w:val="clear" w:color="auto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BACC6" w:themeFill="accent5"/>
        <w:tcBorders>
          <w:top w:val="single" w:color="FFFFFF" w:sz="4" w:space="0" w:themeColor="light1"/>
        </w:tcBorders>
      </w:tcPr>
    </w:tblStylePr>
  </w:style>
  <w:style w:type="table" w:styleId="521" w:customStyle="1">
    <w:name w:val="Grid Table 5 Dark - Accent 6"/>
    <w:basedOn w:val="429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DE9D8" w:themeFill="accent6" w:themeFillTint="34"/>
    </w:tblPr>
    <w:tblStylePr w:type="band1Horz">
      <w:tcPr>
        <w:shd w:val="clear" w:color="auto" w:fill="FBCEAA" w:themeFill="accent6" w:themeFillTint="75"/>
      </w:tcPr>
    </w:tblStylePr>
    <w:tblStylePr w:type="band1Vert">
      <w:tcPr>
        <w:shd w:val="clear" w:color="auto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79646" w:themeFill="accent6"/>
        <w:tcBorders>
          <w:top w:val="single" w:color="FFFFFF" w:sz="4" w:space="0" w:themeColor="light1"/>
        </w:tcBorders>
      </w:tcPr>
    </w:tblStylePr>
  </w:style>
  <w:style w:type="table" w:styleId="522" w:customStyle="1">
    <w:name w:val="Tableau Grille 6 Couleur1"/>
    <w:basedOn w:val="429"/>
    <w:uiPriority w:val="99"/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23" w:customStyle="1">
    <w:name w:val="Grid Table 6 Colorful - Accent 1"/>
    <w:basedOn w:val="429"/>
    <w:uiPriority w:val="99"/>
    <w:tblPr>
      <w:tblStyleRowBandSize w:val="1"/>
      <w:tblStyleColBandSize w:val="1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auto" w:fill="DAE5F1" w:themeFill="accent1" w:themeFillTint="34"/>
      </w:tcPr>
    </w:tblStylePr>
    <w:tblStylePr w:type="band1Vert"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24" w:customStyle="1">
    <w:name w:val="Grid Table 6 Colorful - Accent 2"/>
    <w:basedOn w:val="429"/>
    <w:uiPriority w:val="99"/>
    <w:tblPr>
      <w:tblStyleRowBandSize w:val="1"/>
      <w:tblStyleColBandSize w:val="1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auto" w:fill="F2DCDC" w:themeFill="accent2" w:themeFillTint="32"/>
      </w:tcPr>
    </w:tblStylePr>
    <w:tblStylePr w:type="band1Vert"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25" w:customStyle="1">
    <w:name w:val="Grid Table 6 Colorful - Accent 3"/>
    <w:basedOn w:val="429"/>
    <w:uiPriority w:val="99"/>
    <w:tblPr>
      <w:tblStyleRowBandSize w:val="1"/>
      <w:tblStyleColBandSize w:val="1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auto" w:fill="EAF1DC" w:themeFill="accent3" w:themeFillTint="34"/>
      </w:tcPr>
    </w:tblStylePr>
    <w:tblStylePr w:type="band1Vert"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26" w:customStyle="1">
    <w:name w:val="Grid Table 6 Colorful - Accent 4"/>
    <w:basedOn w:val="429"/>
    <w:uiPriority w:val="99"/>
    <w:tblPr>
      <w:tblStyleRowBandSize w:val="1"/>
      <w:tblStyleColBandSize w:val="1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auto" w:fill="E5DFEC" w:themeFill="accent4" w:themeFillTint="34"/>
      </w:tcPr>
    </w:tblStylePr>
    <w:tblStylePr w:type="band1Vert"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27" w:customStyle="1">
    <w:name w:val="Grid Table 6 Colorful - Accent 5"/>
    <w:basedOn w:val="429"/>
    <w:uiPriority w:val="99"/>
    <w:tblPr>
      <w:tblStyleRowBandSize w:val="1"/>
      <w:tblStyleColBandSize w:val="1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auto" w:fill="DAEEF3" w:themeFill="accent5" w:themeFillTint="34"/>
      </w:tcPr>
    </w:tblStylePr>
    <w:tblStylePr w:type="band1Vert"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28" w:customStyle="1">
    <w:name w:val="Grid Table 6 Colorful - Accent 6"/>
    <w:basedOn w:val="429"/>
    <w:uiPriority w:val="99"/>
    <w:tblPr>
      <w:tblStyleRowBandSize w:val="1"/>
      <w:tblStyleColBandSize w:val="1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auto" w:fill="FDE9D8" w:themeFill="accent6" w:themeFillTint="34"/>
      </w:tcPr>
    </w:tblStylePr>
    <w:tblStylePr w:type="band1Vert"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29" w:customStyle="1">
    <w:name w:val="Tableau Grille 7 Couleur1"/>
    <w:basedOn w:val="429"/>
    <w:uiPriority w:val="99"/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7F7F7F" w:sz="4" w:space="0" w:themeColor="text1" w:themeTint="80"/>
          <w:bottom w:val="none" w:sz="0" w:space="0" w:color="auto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7F7F7F" w:sz="4" w:space="0" w:themeColor="text1" w:themeTint="80"/>
          <w:right w:val="none" w:sz="0" w:space="0" w:color="auto"/>
          <w:bottom w:val="none" w:sz="0" w:space="0" w:color="auto"/>
        </w:tcBorders>
      </w:tcPr>
    </w:tblStylePr>
  </w:style>
  <w:style w:type="table" w:styleId="530" w:customStyle="1">
    <w:name w:val="Grid Table 7 Colorful - Accent 1"/>
    <w:basedOn w:val="429"/>
    <w:uiPriority w:val="99"/>
    <w:tblPr>
      <w:tblStyleRowBandSize w:val="1"/>
      <w:tblStyleColBandSize w:val="1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auto" w:fill="DAE5F1" w:themeFill="accent1" w:themeFillTint="34"/>
      </w:tcPr>
    </w:tblStylePr>
    <w:tblStylePr w:type="band1Vert"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A6BFDD" w:sz="4" w:space="0" w:themeColor="accent1" w:themeTint="80"/>
          <w:bottom w:val="none" w:sz="0" w:space="0" w:color="auto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auto" w:fill="FFFFFF"/>
        <w:tcBorders>
          <w:left w:val="single" w:color="A6BFDD" w:sz="4" w:space="0" w:themeColor="accen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A6BFDD" w:sz="4" w:space="0" w:themeColor="accent1" w:themeTint="80"/>
          <w:right w:val="none" w:sz="0" w:space="0" w:color="auto"/>
          <w:bottom w:val="none" w:sz="0" w:space="0" w:color="auto"/>
        </w:tcBorders>
      </w:tcPr>
    </w:tblStylePr>
  </w:style>
  <w:style w:type="table" w:styleId="531" w:customStyle="1">
    <w:name w:val="Grid Table 7 Colorful - Accent 2"/>
    <w:basedOn w:val="429"/>
    <w:uiPriority w:val="99"/>
    <w:tblPr>
      <w:tblStyleRowBandSize w:val="1"/>
      <w:tblStyleColBandSize w:val="1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auto" w:fill="F2DCDC" w:themeFill="accent2" w:themeFillTint="32"/>
      </w:tcPr>
    </w:tblStylePr>
    <w:tblStylePr w:type="band1Vert"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D99695" w:sz="4" w:space="0" w:themeColor="accent2" w:themeTint="97"/>
          <w:bottom w:val="none" w:sz="0" w:space="0" w:color="auto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auto" w:fill="FFFFFF"/>
        <w:tcBorders>
          <w:left w:val="single" w:color="D99695" w:sz="4" w:space="0" w:themeColor="accent2" w:themeTint="97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D99695" w:sz="4" w:space="0" w:themeColor="accent2" w:themeTint="97"/>
          <w:right w:val="none" w:sz="0" w:space="0" w:color="auto"/>
          <w:bottom w:val="none" w:sz="0" w:space="0" w:color="auto"/>
        </w:tcBorders>
      </w:tcPr>
    </w:tblStylePr>
  </w:style>
  <w:style w:type="table" w:styleId="532" w:customStyle="1">
    <w:name w:val="Grid Table 7 Colorful - Accent 3"/>
    <w:basedOn w:val="429"/>
    <w:uiPriority w:val="99"/>
    <w:tblPr>
      <w:tblStyleRowBandSize w:val="1"/>
      <w:tblStyleColBandSize w:val="1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auto" w:fill="EAF1DC" w:themeFill="accent3" w:themeFillTint="34"/>
      </w:tcPr>
    </w:tblStylePr>
    <w:tblStylePr w:type="band1Vert"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9ABB59" w:sz="4" w:space="0" w:themeColor="accent3" w:themeTint="FE"/>
          <w:bottom w:val="none" w:sz="0" w:space="0" w:color="auto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auto" w:fill="FFFFFF"/>
        <w:tcBorders>
          <w:left w:val="single" w:color="9ABB59" w:sz="4" w:space="0" w:themeColor="accent3" w:themeTint="FE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9ABB59" w:sz="4" w:space="0" w:themeColor="accent3" w:themeTint="FE"/>
          <w:right w:val="none" w:sz="0" w:space="0" w:color="auto"/>
          <w:bottom w:val="none" w:sz="0" w:space="0" w:color="auto"/>
        </w:tcBorders>
      </w:tcPr>
    </w:tblStylePr>
  </w:style>
  <w:style w:type="table" w:styleId="533" w:customStyle="1">
    <w:name w:val="Grid Table 7 Colorful - Accent 4"/>
    <w:basedOn w:val="429"/>
    <w:uiPriority w:val="99"/>
    <w:tblPr>
      <w:tblStyleRowBandSize w:val="1"/>
      <w:tblStyleColBandSize w:val="1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auto" w:fill="E5DFEC" w:themeFill="accent4" w:themeFillTint="34"/>
      </w:tcPr>
    </w:tblStylePr>
    <w:tblStylePr w:type="band1Vert"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B2A1C6" w:sz="4" w:space="0" w:themeColor="accent4" w:themeTint="9A"/>
          <w:bottom w:val="none" w:sz="0" w:space="0" w:color="auto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auto" w:fill="FFFFFF"/>
        <w:tcBorders>
          <w:left w:val="single" w:color="B2A1C6" w:sz="4" w:space="0" w:themeColor="accent4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B2A1C6" w:sz="4" w:space="0" w:themeColor="accent4" w:themeTint="9A"/>
          <w:right w:val="none" w:sz="0" w:space="0" w:color="auto"/>
          <w:bottom w:val="none" w:sz="0" w:space="0" w:color="auto"/>
        </w:tcBorders>
      </w:tcPr>
    </w:tblStylePr>
  </w:style>
  <w:style w:type="table" w:styleId="534" w:customStyle="1">
    <w:name w:val="Grid Table 7 Colorful - Accent 5"/>
    <w:basedOn w:val="429"/>
    <w:uiPriority w:val="99"/>
    <w:tblPr>
      <w:tblStyleRowBandSize w:val="1"/>
      <w:tblStyleColBandSize w:val="1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auto" w:fill="DAEEF3" w:themeFill="accent5" w:themeFillTint="34"/>
      </w:tcPr>
    </w:tblStylePr>
    <w:tblStylePr w:type="band1Vert"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99D0DE" w:sz="4" w:space="0" w:themeColor="accent5" w:themeTint="90"/>
          <w:bottom w:val="none" w:sz="0" w:space="0" w:color="auto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auto" w:fill="FFFFFF"/>
        <w:tcBorders>
          <w:left w:val="single" w:color="99D0DE" w:sz="4" w:space="0" w:themeColor="accent5" w:themeTint="9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99D0DE" w:sz="4" w:space="0" w:themeColor="accent5" w:themeTint="90"/>
          <w:right w:val="none" w:sz="0" w:space="0" w:color="auto"/>
          <w:bottom w:val="none" w:sz="0" w:space="0" w:color="auto"/>
        </w:tcBorders>
      </w:tcPr>
    </w:tblStylePr>
  </w:style>
  <w:style w:type="table" w:styleId="535" w:customStyle="1">
    <w:name w:val="Grid Table 7 Colorful - Accent 6"/>
    <w:basedOn w:val="429"/>
    <w:uiPriority w:val="99"/>
    <w:tblPr>
      <w:tblStyleRowBandSize w:val="1"/>
      <w:tblStyleColBandSize w:val="1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auto" w:fill="FDE9D8" w:themeFill="accent6" w:themeFillTint="34"/>
      </w:tcPr>
    </w:tblStylePr>
    <w:tblStylePr w:type="band1Vert"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FAC396" w:sz="4" w:space="0" w:themeColor="accent6" w:themeTint="90"/>
          <w:bottom w:val="none" w:sz="0" w:space="0" w:color="auto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auto" w:fill="FFFFFF"/>
        <w:tcBorders>
          <w:left w:val="single" w:color="FAC396" w:sz="4" w:space="0" w:themeColor="accent6" w:themeTint="9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FAC396" w:sz="4" w:space="0" w:themeColor="accent6" w:themeTint="90"/>
          <w:right w:val="none" w:sz="0" w:space="0" w:color="auto"/>
          <w:bottom w:val="none" w:sz="0" w:space="0" w:color="auto"/>
        </w:tcBorders>
      </w:tcPr>
    </w:tblStylePr>
  </w:style>
  <w:style w:type="table" w:styleId="536" w:customStyle="1">
    <w:name w:val="Tableau Liste 1 Clair1"/>
    <w:basedOn w:val="429"/>
    <w:uiPriority w:val="99"/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List Table 1 Light - Accent 1"/>
    <w:basedOn w:val="429"/>
    <w:uiPriority w:val="99"/>
    <w:tblPr>
      <w:tblStyleRowBandSize w:val="1"/>
      <w:tblStyleColBandSize w:val="1"/>
    </w:tblPr>
    <w:tblStylePr w:type="band1Horz">
      <w:tcPr>
        <w:shd w:val="clear" w:color="auto" w:fill="D2DFEE" w:themeFill="accent1" w:themeFillTint="40"/>
      </w:tcPr>
    </w:tblStylePr>
    <w:tblStylePr w:type="band1Vert">
      <w:tcPr>
        <w:shd w:val="clear" w:color="auto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List Table 1 Light - Accent 2"/>
    <w:basedOn w:val="429"/>
    <w:uiPriority w:val="99"/>
    <w:tblPr>
      <w:tblStyleRowBandSize w:val="1"/>
      <w:tblStyleColBandSize w:val="1"/>
    </w:tblPr>
    <w:tblStylePr w:type="band1Horz">
      <w:tcPr>
        <w:shd w:val="clear" w:color="auto" w:fill="EFD2D2" w:themeFill="accent2" w:themeFillTint="40"/>
      </w:tcPr>
    </w:tblStylePr>
    <w:tblStylePr w:type="band1Vert">
      <w:tcPr>
        <w:shd w:val="clear" w:color="auto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List Table 1 Light - Accent 3"/>
    <w:basedOn w:val="429"/>
    <w:uiPriority w:val="99"/>
    <w:tblPr>
      <w:tblStyleRowBandSize w:val="1"/>
      <w:tblStyleColBandSize w:val="1"/>
    </w:tblPr>
    <w:tblStylePr w:type="band1Horz">
      <w:tcPr>
        <w:shd w:val="clear" w:color="auto" w:fill="E5EED5" w:themeFill="accent3" w:themeFillTint="40"/>
      </w:tcPr>
    </w:tblStylePr>
    <w:tblStylePr w:type="band1Vert">
      <w:tcPr>
        <w:shd w:val="clear" w:color="auto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List Table 1 Light - Accent 4"/>
    <w:basedOn w:val="429"/>
    <w:uiPriority w:val="99"/>
    <w:tblPr>
      <w:tblStyleRowBandSize w:val="1"/>
      <w:tblStyleColBandSize w:val="1"/>
    </w:tblPr>
    <w:tblStylePr w:type="band1Horz">
      <w:tcPr>
        <w:shd w:val="clear" w:color="auto" w:fill="DFD8E7" w:themeFill="accent4" w:themeFillTint="40"/>
      </w:tcPr>
    </w:tblStylePr>
    <w:tblStylePr w:type="band1Vert">
      <w:tcPr>
        <w:shd w:val="clear" w:color="auto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1" w:customStyle="1">
    <w:name w:val="List Table 1 Light - Accent 5"/>
    <w:basedOn w:val="429"/>
    <w:uiPriority w:val="99"/>
    <w:tblPr>
      <w:tblStyleRowBandSize w:val="1"/>
      <w:tblStyleColBandSize w:val="1"/>
    </w:tblPr>
    <w:tblStylePr w:type="band1Horz">
      <w:tcPr>
        <w:shd w:val="clear" w:color="auto" w:fill="D1EAF0" w:themeFill="accent5" w:themeFillTint="40"/>
      </w:tcPr>
    </w:tblStylePr>
    <w:tblStylePr w:type="band1Vert">
      <w:tcPr>
        <w:shd w:val="clear" w:color="auto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2" w:customStyle="1">
    <w:name w:val="List Table 1 Light - Accent 6"/>
    <w:basedOn w:val="429"/>
    <w:uiPriority w:val="99"/>
    <w:tblPr>
      <w:tblStyleRowBandSize w:val="1"/>
      <w:tblStyleColBandSize w:val="1"/>
    </w:tblPr>
    <w:tblStylePr w:type="band1Horz">
      <w:tcPr>
        <w:shd w:val="clear" w:color="auto" w:fill="FDE4D0" w:themeFill="accent6" w:themeFillTint="40"/>
      </w:tcPr>
    </w:tblStylePr>
    <w:tblStylePr w:type="band1Vert">
      <w:tcPr>
        <w:shd w:val="clear" w:color="auto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3" w:customStyle="1">
    <w:name w:val="Tableau Liste 21"/>
    <w:basedOn w:val="429"/>
    <w:uiPriority w:val="99"/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44" w:customStyle="1">
    <w:name w:val="List Table 2 - Accent 1"/>
    <w:basedOn w:val="429"/>
    <w:uiPriority w:val="99"/>
    <w:tblPr>
      <w:tblStyleRowBandSize w:val="1"/>
      <w:tblStyleColBandSize w:val="1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45" w:customStyle="1">
    <w:name w:val="List Table 2 - Accent 2"/>
    <w:basedOn w:val="429"/>
    <w:uiPriority w:val="99"/>
    <w:tblPr>
      <w:tblStyleRowBandSize w:val="1"/>
      <w:tblStyleColBandSize w:val="1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46" w:customStyle="1">
    <w:name w:val="List Table 2 - Accent 3"/>
    <w:basedOn w:val="429"/>
    <w:uiPriority w:val="99"/>
    <w:tblPr>
      <w:tblStyleRowBandSize w:val="1"/>
      <w:tblStyleColBandSize w:val="1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47" w:customStyle="1">
    <w:name w:val="List Table 2 - Accent 4"/>
    <w:basedOn w:val="429"/>
    <w:uiPriority w:val="99"/>
    <w:tblPr>
      <w:tblStyleRowBandSize w:val="1"/>
      <w:tblStyleColBandSize w:val="1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48" w:customStyle="1">
    <w:name w:val="List Table 2 - Accent 5"/>
    <w:basedOn w:val="429"/>
    <w:uiPriority w:val="99"/>
    <w:tblPr>
      <w:tblStyleRowBandSize w:val="1"/>
      <w:tblStyleColBandSize w:val="1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49" w:customStyle="1">
    <w:name w:val="List Table 2 - Accent 6"/>
    <w:basedOn w:val="429"/>
    <w:uiPriority w:val="99"/>
    <w:tblPr>
      <w:tblStyleRowBandSize w:val="1"/>
      <w:tblStyleColBandSize w:val="1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50" w:customStyle="1">
    <w:name w:val="Tableau Liste 31"/>
    <w:basedOn w:val="429"/>
    <w:uiPriority w:val="99"/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 w:customStyle="1">
    <w:name w:val="List Table 3 - Accent 1"/>
    <w:basedOn w:val="429"/>
    <w:uiPriority w:val="99"/>
    <w:tblPr>
      <w:tblStyleRowBandSize w:val="1"/>
      <w:tblStyleColBandSize w:val="1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 w:customStyle="1">
    <w:name w:val="List Table 3 - Accent 2"/>
    <w:basedOn w:val="429"/>
    <w:uiPriority w:val="99"/>
    <w:tblPr>
      <w:tblStyleRowBandSize w:val="1"/>
      <w:tblStyleColBandSize w:val="1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 w:customStyle="1">
    <w:name w:val="List Table 3 - Accent 3"/>
    <w:basedOn w:val="429"/>
    <w:uiPriority w:val="99"/>
    <w:tblPr>
      <w:tblStyleRowBandSize w:val="1"/>
      <w:tblStyleColBandSize w:val="1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 w:customStyle="1">
    <w:name w:val="List Table 3 - Accent 4"/>
    <w:basedOn w:val="429"/>
    <w:uiPriority w:val="99"/>
    <w:tblPr>
      <w:tblStyleRowBandSize w:val="1"/>
      <w:tblStyleColBandSize w:val="1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 w:customStyle="1">
    <w:name w:val="List Table 3 - Accent 5"/>
    <w:basedOn w:val="429"/>
    <w:uiPriority w:val="99"/>
    <w:tblPr>
      <w:tblStyleRowBandSize w:val="1"/>
      <w:tblStyleColBandSize w:val="1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 w:customStyle="1">
    <w:name w:val="List Table 3 - Accent 6"/>
    <w:basedOn w:val="429"/>
    <w:uiPriority w:val="99"/>
    <w:tblPr>
      <w:tblStyleRowBandSize w:val="1"/>
      <w:tblStyleColBandSize w:val="1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 w:customStyle="1">
    <w:name w:val="Tableau Liste 41"/>
    <w:basedOn w:val="429"/>
    <w:uiPriority w:val="99"/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 w:customStyle="1">
    <w:name w:val="List Table 4 - Accent 1"/>
    <w:basedOn w:val="429"/>
    <w:uiPriority w:val="99"/>
    <w:tblPr>
      <w:tblStyleRowBandSize w:val="1"/>
      <w:tblStyleColBandSize w:val="1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 w:customStyle="1">
    <w:name w:val="List Table 4 - Accent 2"/>
    <w:basedOn w:val="429"/>
    <w:uiPriority w:val="99"/>
    <w:tblPr>
      <w:tblStyleRowBandSize w:val="1"/>
      <w:tblStyleColBandSize w:val="1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 w:customStyle="1">
    <w:name w:val="List Table 4 - Accent 3"/>
    <w:basedOn w:val="429"/>
    <w:uiPriority w:val="99"/>
    <w:tblPr>
      <w:tblStyleRowBandSize w:val="1"/>
      <w:tblStyleColBandSize w:val="1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 w:customStyle="1">
    <w:name w:val="List Table 4 - Accent 4"/>
    <w:basedOn w:val="429"/>
    <w:uiPriority w:val="99"/>
    <w:tblPr>
      <w:tblStyleRowBandSize w:val="1"/>
      <w:tblStyleColBandSize w:val="1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 w:customStyle="1">
    <w:name w:val="List Table 4 - Accent 5"/>
    <w:basedOn w:val="429"/>
    <w:uiPriority w:val="99"/>
    <w:tblPr>
      <w:tblStyleRowBandSize w:val="1"/>
      <w:tblStyleColBandSize w:val="1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 w:customStyle="1">
    <w:name w:val="List Table 4 - Accent 6"/>
    <w:basedOn w:val="429"/>
    <w:uiPriority w:val="99"/>
    <w:tblPr>
      <w:tblStyleRowBandSize w:val="1"/>
      <w:tblStyleColBandSize w:val="1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4" w:customStyle="1">
    <w:name w:val="Tableau Liste 5 Foncé1"/>
    <w:basedOn w:val="429"/>
    <w:uiPriority w:val="99"/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65" w:customStyle="1">
    <w:name w:val="List Table 5 Dark - Accent 1"/>
    <w:basedOn w:val="429"/>
    <w:uiPriority w:val="99"/>
    <w:tblPr>
      <w:tblStyleRowBandSize w:val="1"/>
      <w:tblStyleColBandSize w:val="1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color="auto" w:fill="4F81BD" w:themeFill="accent1"/>
    </w:tblPr>
    <w:tblStylePr w:type="band1Horz">
      <w:tcPr>
        <w:shd w:val="clear" w:color="auto" w:fill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66" w:customStyle="1">
    <w:name w:val="List Table 5 Dark - Accent 2"/>
    <w:basedOn w:val="429"/>
    <w:uiPriority w:val="99"/>
    <w:tblPr>
      <w:tblStyleRowBandSize w:val="1"/>
      <w:tblStyleColBandSize w:val="1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color="auto" w:fill="D99695" w:themeFill="accent2" w:themeFillTint="97"/>
    </w:tblPr>
    <w:tblStylePr w:type="band1Horz">
      <w:tcPr>
        <w:shd w:val="clear" w:color="auto" w:fill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67" w:customStyle="1">
    <w:name w:val="List Table 5 Dark - Accent 3"/>
    <w:basedOn w:val="429"/>
    <w:uiPriority w:val="99"/>
    <w:tblPr>
      <w:tblStyleRowBandSize w:val="1"/>
      <w:tblStyleColBandSize w:val="1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color="auto" w:fill="C3D69B" w:themeFill="accent3" w:themeFillTint="98"/>
    </w:tblPr>
    <w:tblStylePr w:type="band1Horz">
      <w:tcPr>
        <w:shd w:val="clear" w:color="auto" w:fill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68" w:customStyle="1">
    <w:name w:val="List Table 5 Dark - Accent 4"/>
    <w:basedOn w:val="429"/>
    <w:uiPriority w:val="99"/>
    <w:tblPr>
      <w:tblStyleRowBandSize w:val="1"/>
      <w:tblStyleColBandSize w:val="1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color="auto" w:fill="B2A1C6" w:themeFill="accent4" w:themeFillTint="9A"/>
    </w:tblPr>
    <w:tblStylePr w:type="band1Horz">
      <w:tcPr>
        <w:shd w:val="clear" w:color="auto" w:fill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69" w:customStyle="1">
    <w:name w:val="List Table 5 Dark - Accent 5"/>
    <w:basedOn w:val="429"/>
    <w:uiPriority w:val="99"/>
    <w:tblPr>
      <w:tblStyleRowBandSize w:val="1"/>
      <w:tblStyleColBandSize w:val="1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color="auto" w:fill="92CCDC" w:themeFill="accent5" w:themeFillTint="9A"/>
    </w:tblPr>
    <w:tblStylePr w:type="band1Horz">
      <w:tcPr>
        <w:shd w:val="clear" w:color="auto" w:fill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0" w:customStyle="1">
    <w:name w:val="List Table 5 Dark - Accent 6"/>
    <w:basedOn w:val="429"/>
    <w:uiPriority w:val="99"/>
    <w:tblPr>
      <w:tblStyleRowBandSize w:val="1"/>
      <w:tblStyleColBandSize w:val="1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color="auto" w:fill="FAC090" w:themeFill="accent6" w:themeFillTint="98"/>
    </w:tblPr>
    <w:tblStylePr w:type="band1Horz">
      <w:tcPr>
        <w:shd w:val="clear" w:color="auto" w:fill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1" w:customStyle="1">
    <w:name w:val="Tableau Liste 6 Couleur1"/>
    <w:basedOn w:val="429"/>
    <w:uiPriority w:val="99"/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72" w:customStyle="1">
    <w:name w:val="List Table 6 Colorful - Accent 1"/>
    <w:basedOn w:val="429"/>
    <w:uiPriority w:val="99"/>
    <w:tblPr>
      <w:tblStyleRowBandSize w:val="1"/>
      <w:tblStyleColBandSize w:val="1"/>
      <w:tblBorders>
        <w:top w:val="single" w:color="4F81BD" w:sz="4" w:space="0" w:themeColor="accent1"/>
        <w:bottom w:val="single" w:color="4F81BD" w:sz="4" w:space="0" w:themeColor="accent1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auto" w:fill="D2DFEE" w:themeFill="accent1" w:themeFillTint="40"/>
      </w:tcPr>
    </w:tblStylePr>
    <w:tblStylePr w:type="band1Vert"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73" w:customStyle="1">
    <w:name w:val="List Table 6 Colorful - Accent 2"/>
    <w:basedOn w:val="429"/>
    <w:uiPriority w:val="99"/>
    <w:tblPr>
      <w:tblStyleRowBandSize w:val="1"/>
      <w:tblStyleColBandSize w:val="1"/>
      <w:tblBorders>
        <w:top w:val="single" w:color="D99695" w:sz="4" w:space="0" w:themeColor="accent2" w:themeTint="97"/>
        <w:bottom w:val="single" w:color="D99695" w:sz="4" w:space="0" w:themeColor="accent2" w:themeTint="97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auto" w:fill="EFD2D2" w:themeFill="accent2" w:themeFillTint="40"/>
      </w:tcPr>
    </w:tblStylePr>
    <w:tblStylePr w:type="band1Vert"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74" w:customStyle="1">
    <w:name w:val="List Table 6 Colorful - Accent 3"/>
    <w:basedOn w:val="429"/>
    <w:uiPriority w:val="99"/>
    <w:tblPr>
      <w:tblStyleRowBandSize w:val="1"/>
      <w:tblStyleColBandSize w:val="1"/>
      <w:tblBorders>
        <w:top w:val="single" w:color="C3D69B" w:sz="4" w:space="0" w:themeColor="accent3" w:themeTint="98"/>
        <w:bottom w:val="single" w:color="C3D69B" w:sz="4" w:space="0" w:themeColor="accent3" w:themeTint="98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auto" w:fill="E5EED5" w:themeFill="accent3" w:themeFillTint="40"/>
      </w:tcPr>
    </w:tblStylePr>
    <w:tblStylePr w:type="band1Vert"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75" w:customStyle="1">
    <w:name w:val="List Table 6 Colorful - Accent 4"/>
    <w:basedOn w:val="429"/>
    <w:uiPriority w:val="99"/>
    <w:tblPr>
      <w:tblStyleRowBandSize w:val="1"/>
      <w:tblStyleColBandSize w:val="1"/>
      <w:tblBorders>
        <w:top w:val="single" w:color="B2A1C6" w:sz="4" w:space="0" w:themeColor="accent4" w:themeTint="9A"/>
        <w:bottom w:val="single" w:color="B2A1C6" w:sz="4" w:space="0" w:themeColor="accent4" w:themeTint="9A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auto" w:fill="DFD8E7" w:themeFill="accent4" w:themeFillTint="40"/>
      </w:tcPr>
    </w:tblStylePr>
    <w:tblStylePr w:type="band1Vert"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76" w:customStyle="1">
    <w:name w:val="List Table 6 Colorful - Accent 5"/>
    <w:basedOn w:val="429"/>
    <w:uiPriority w:val="99"/>
    <w:tblPr>
      <w:tblStyleRowBandSize w:val="1"/>
      <w:tblStyleColBandSize w:val="1"/>
      <w:tblBorders>
        <w:top w:val="single" w:color="92CCDC" w:sz="4" w:space="0" w:themeColor="accent5" w:themeTint="9A"/>
        <w:bottom w:val="single" w:color="92CCDC" w:sz="4" w:space="0" w:themeColor="accent5" w:themeTint="9A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auto" w:fill="D1EAF0" w:themeFill="accent5" w:themeFillTint="40"/>
      </w:tcPr>
    </w:tblStylePr>
    <w:tblStylePr w:type="band1Vert"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77" w:customStyle="1">
    <w:name w:val="List Table 6 Colorful - Accent 6"/>
    <w:basedOn w:val="429"/>
    <w:uiPriority w:val="99"/>
    <w:tblPr>
      <w:tblStyleRowBandSize w:val="1"/>
      <w:tblStyleColBandSize w:val="1"/>
      <w:tblBorders>
        <w:top w:val="single" w:color="FAC090" w:sz="4" w:space="0" w:themeColor="accent6" w:themeTint="98"/>
        <w:bottom w:val="single" w:color="FAC090" w:sz="4" w:space="0" w:themeColor="accent6" w:themeTint="98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auto" w:fill="FDE4D0" w:themeFill="accent6" w:themeFillTint="40"/>
      </w:tcPr>
    </w:tblStylePr>
    <w:tblStylePr w:type="band1Vert"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78" w:customStyle="1">
    <w:name w:val="Tableau Liste 7 Couleur1"/>
    <w:basedOn w:val="429"/>
    <w:uiPriority w:val="99"/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7F7F7F" w:sz="4" w:space="0" w:themeColor="text1" w:themeTint="80"/>
          <w:bottom w:val="none" w:sz="0" w:space="0" w:color="auto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7F7F7F" w:sz="4" w:space="0" w:themeColor="text1" w:themeTint="80"/>
          <w:right w:val="none" w:sz="0" w:space="0" w:color="auto"/>
          <w:bottom w:val="none" w:sz="0" w:space="0" w:color="auto"/>
        </w:tcBorders>
      </w:tcPr>
    </w:tblStylePr>
  </w:style>
  <w:style w:type="table" w:styleId="579" w:customStyle="1">
    <w:name w:val="List Table 7 Colorful - Accent 1"/>
    <w:basedOn w:val="429"/>
    <w:uiPriority w:val="99"/>
    <w:tblPr>
      <w:tblStyleRowBandSize w:val="1"/>
      <w:tblStyleColBandSize w:val="1"/>
      <w:tblBorders>
        <w:right w:val="single" w:color="4F81BD" w:sz="4" w:space="0" w:themeColor="accent1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auto" w:fill="D2DFEE" w:themeFill="accent1" w:themeFillTint="40"/>
      </w:tcPr>
    </w:tblStylePr>
    <w:tblStylePr w:type="band1Vert"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4F81BD" w:sz="4" w:space="0" w:themeColor="accent1"/>
          <w:bottom w:val="none" w:sz="0" w:space="0" w:color="auto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auto" w:fill="FFFFFF"/>
        <w:tcBorders>
          <w:left w:val="single" w:color="4F81BD" w:sz="4" w:space="0" w:themeColor="accent1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4F81BD" w:sz="4" w:space="0" w:themeColor="accent1"/>
          <w:right w:val="none" w:sz="0" w:space="0" w:color="auto"/>
          <w:bottom w:val="none" w:sz="0" w:space="0" w:color="auto"/>
        </w:tcBorders>
      </w:tcPr>
    </w:tblStylePr>
  </w:style>
  <w:style w:type="table" w:styleId="580" w:customStyle="1">
    <w:name w:val="List Table 7 Colorful - Accent 2"/>
    <w:basedOn w:val="429"/>
    <w:uiPriority w:val="99"/>
    <w:tblPr>
      <w:tblStyleRowBandSize w:val="1"/>
      <w:tblStyleColBandSize w:val="1"/>
      <w:tblBorders>
        <w:right w:val="single" w:color="D99695" w:sz="4" w:space="0" w:themeColor="accent2" w:themeTint="97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auto" w:fill="EFD2D2" w:themeFill="accent2" w:themeFillTint="40"/>
      </w:tcPr>
    </w:tblStylePr>
    <w:tblStylePr w:type="band1Vert"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D99695" w:sz="4" w:space="0" w:themeColor="accent2" w:themeTint="97"/>
          <w:bottom w:val="none" w:sz="0" w:space="0" w:color="auto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auto" w:fill="FFFFFF"/>
        <w:tcBorders>
          <w:left w:val="single" w:color="D99695" w:sz="4" w:space="0" w:themeColor="accent2" w:themeTint="97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D99695" w:sz="4" w:space="0" w:themeColor="accent2" w:themeTint="97"/>
          <w:right w:val="none" w:sz="0" w:space="0" w:color="auto"/>
          <w:bottom w:val="none" w:sz="0" w:space="0" w:color="auto"/>
        </w:tcBorders>
      </w:tcPr>
    </w:tblStylePr>
  </w:style>
  <w:style w:type="table" w:styleId="581" w:customStyle="1">
    <w:name w:val="List Table 7 Colorful - Accent 3"/>
    <w:basedOn w:val="429"/>
    <w:uiPriority w:val="99"/>
    <w:tblPr>
      <w:tblStyleRowBandSize w:val="1"/>
      <w:tblStyleColBandSize w:val="1"/>
      <w:tblBorders>
        <w:right w:val="single" w:color="C3D69B" w:sz="4" w:space="0" w:themeColor="accent3" w:themeTint="98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auto" w:fill="E5EED5" w:themeFill="accent3" w:themeFillTint="40"/>
      </w:tcPr>
    </w:tblStylePr>
    <w:tblStylePr w:type="band1Vert"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C3D69B" w:sz="4" w:space="0" w:themeColor="accent3" w:themeTint="98"/>
          <w:bottom w:val="none" w:sz="0" w:space="0" w:color="auto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auto" w:fill="FFFFFF"/>
        <w:tcBorders>
          <w:left w:val="single" w:color="C3D69B" w:sz="4" w:space="0" w:themeColor="accent3" w:themeTint="98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C3D69B" w:sz="4" w:space="0" w:themeColor="accent3" w:themeTint="98"/>
          <w:right w:val="none" w:sz="0" w:space="0" w:color="auto"/>
          <w:bottom w:val="none" w:sz="0" w:space="0" w:color="auto"/>
        </w:tcBorders>
      </w:tcPr>
    </w:tblStylePr>
  </w:style>
  <w:style w:type="table" w:styleId="582" w:customStyle="1">
    <w:name w:val="List Table 7 Colorful - Accent 4"/>
    <w:basedOn w:val="429"/>
    <w:uiPriority w:val="99"/>
    <w:tblPr>
      <w:tblStyleRowBandSize w:val="1"/>
      <w:tblStyleColBandSize w:val="1"/>
      <w:tblBorders>
        <w:right w:val="single" w:color="B2A1C6" w:sz="4" w:space="0" w:themeColor="accent4" w:themeTint="9A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auto" w:fill="DFD8E7" w:themeFill="accent4" w:themeFillTint="40"/>
      </w:tcPr>
    </w:tblStylePr>
    <w:tblStylePr w:type="band1Vert"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B2A1C6" w:sz="4" w:space="0" w:themeColor="accent4" w:themeTint="9A"/>
          <w:bottom w:val="none" w:sz="0" w:space="0" w:color="auto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auto" w:fill="FFFFFF"/>
        <w:tcBorders>
          <w:left w:val="single" w:color="B2A1C6" w:sz="4" w:space="0" w:themeColor="accent4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B2A1C6" w:sz="4" w:space="0" w:themeColor="accent4" w:themeTint="9A"/>
          <w:right w:val="none" w:sz="0" w:space="0" w:color="auto"/>
          <w:bottom w:val="none" w:sz="0" w:space="0" w:color="auto"/>
        </w:tcBorders>
      </w:tcPr>
    </w:tblStylePr>
  </w:style>
  <w:style w:type="table" w:styleId="583" w:customStyle="1">
    <w:name w:val="List Table 7 Colorful - Accent 5"/>
    <w:basedOn w:val="429"/>
    <w:uiPriority w:val="99"/>
    <w:tblPr>
      <w:tblStyleRowBandSize w:val="1"/>
      <w:tblStyleColBandSize w:val="1"/>
      <w:tblBorders>
        <w:right w:val="single" w:color="92CCDC" w:sz="4" w:space="0" w:themeColor="accent5" w:themeTint="9A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auto" w:fill="D1EAF0" w:themeFill="accent5" w:themeFillTint="40"/>
      </w:tcPr>
    </w:tblStylePr>
    <w:tblStylePr w:type="band1Vert"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92CCDC" w:sz="4" w:space="0" w:themeColor="accent5" w:themeTint="9A"/>
          <w:bottom w:val="none" w:sz="0" w:space="0" w:color="auto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auto" w:fill="FFFFFF"/>
        <w:tcBorders>
          <w:left w:val="single" w:color="92CCDC" w:sz="4" w:space="0" w:themeColor="accent5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92CCDC" w:sz="4" w:space="0" w:themeColor="accent5" w:themeTint="9A"/>
          <w:right w:val="none" w:sz="0" w:space="0" w:color="auto"/>
          <w:bottom w:val="none" w:sz="0" w:space="0" w:color="auto"/>
        </w:tcBorders>
      </w:tcPr>
    </w:tblStylePr>
  </w:style>
  <w:style w:type="table" w:styleId="584" w:customStyle="1">
    <w:name w:val="List Table 7 Colorful - Accent 6"/>
    <w:basedOn w:val="429"/>
    <w:uiPriority w:val="99"/>
    <w:tblPr>
      <w:tblStyleRowBandSize w:val="1"/>
      <w:tblStyleColBandSize w:val="1"/>
      <w:tblBorders>
        <w:right w:val="single" w:color="FAC090" w:sz="4" w:space="0" w:themeColor="accent6" w:themeTint="98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auto" w:fill="FDE4D0" w:themeFill="accent6" w:themeFillTint="40"/>
      </w:tcPr>
    </w:tblStylePr>
    <w:tblStylePr w:type="band1Vert"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FAC090" w:sz="4" w:space="0" w:themeColor="accent6" w:themeTint="98"/>
          <w:bottom w:val="none" w:sz="0" w:space="0" w:color="auto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auto" w:fill="FFFFFF"/>
        <w:tcBorders>
          <w:left w:val="single" w:color="FAC090" w:sz="4" w:space="0" w:themeColor="accent6" w:themeTint="98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FAC090" w:sz="4" w:space="0" w:themeColor="accent6" w:themeTint="98"/>
          <w:right w:val="none" w:sz="0" w:space="0" w:color="auto"/>
          <w:bottom w:val="none" w:sz="0" w:space="0" w:color="auto"/>
        </w:tcBorders>
      </w:tcPr>
    </w:tblStylePr>
  </w:style>
  <w:style w:type="table" w:styleId="585" w:customStyle="1">
    <w:name w:val="Lined - Accent"/>
    <w:basedOn w:val="429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586" w:customStyle="1">
    <w:name w:val="Bordered &amp; Lined - Accent"/>
    <w:basedOn w:val="429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character" w:styleId="587">
    <w:name w:val="Hyperlink"/>
    <w:uiPriority w:val="99"/>
    <w:unhideWhenUsed/>
    <w:rPr>
      <w:color w:val="0000FF" w:themeColor="hyperlink"/>
      <w:u w:val="single"/>
    </w:rPr>
  </w:style>
  <w:style w:type="paragraph" w:styleId="588">
    <w:name w:val="footnote text"/>
    <w:basedOn w:val="418"/>
    <w:link w:val="589"/>
    <w:uiPriority w:val="99"/>
    <w:semiHidden/>
    <w:unhideWhenUsed/>
    <w:rPr>
      <w:sz w:val="18"/>
    </w:rPr>
    <w:pPr>
      <w:spacing w:after="40"/>
    </w:pPr>
  </w:style>
  <w:style w:type="character" w:styleId="589" w:customStyle="1">
    <w:name w:val="Note de bas de page Car1"/>
    <w:link w:val="588"/>
    <w:uiPriority w:val="99"/>
    <w:rPr>
      <w:sz w:val="18"/>
    </w:rPr>
  </w:style>
  <w:style w:type="character" w:styleId="590">
    <w:name w:val="footnote reference"/>
    <w:basedOn w:val="428"/>
    <w:uiPriority w:val="99"/>
    <w:unhideWhenUsed/>
    <w:rPr>
      <w:vertAlign w:val="superscript"/>
    </w:rPr>
  </w:style>
  <w:style w:type="paragraph" w:styleId="591">
    <w:name w:val="toc 1"/>
    <w:basedOn w:val="418"/>
    <w:next w:val="418"/>
    <w:uiPriority w:val="39"/>
    <w:unhideWhenUsed/>
    <w:pPr>
      <w:spacing w:after="57"/>
    </w:pPr>
  </w:style>
  <w:style w:type="paragraph" w:styleId="592">
    <w:name w:val="toc 2"/>
    <w:basedOn w:val="418"/>
    <w:next w:val="418"/>
    <w:uiPriority w:val="39"/>
    <w:unhideWhenUsed/>
    <w:pPr>
      <w:ind w:left="283"/>
      <w:spacing w:after="57"/>
    </w:pPr>
  </w:style>
  <w:style w:type="paragraph" w:styleId="593">
    <w:name w:val="toc 3"/>
    <w:basedOn w:val="418"/>
    <w:next w:val="418"/>
    <w:uiPriority w:val="39"/>
    <w:unhideWhenUsed/>
    <w:pPr>
      <w:ind w:left="567"/>
      <w:spacing w:after="57"/>
    </w:pPr>
  </w:style>
  <w:style w:type="paragraph" w:styleId="594">
    <w:name w:val="toc 4"/>
    <w:basedOn w:val="418"/>
    <w:next w:val="418"/>
    <w:uiPriority w:val="39"/>
    <w:unhideWhenUsed/>
    <w:pPr>
      <w:ind w:left="850"/>
      <w:spacing w:after="57"/>
    </w:pPr>
  </w:style>
  <w:style w:type="paragraph" w:styleId="595">
    <w:name w:val="toc 5"/>
    <w:basedOn w:val="418"/>
    <w:next w:val="418"/>
    <w:uiPriority w:val="39"/>
    <w:unhideWhenUsed/>
    <w:pPr>
      <w:ind w:left="1134"/>
      <w:spacing w:after="57"/>
    </w:pPr>
  </w:style>
  <w:style w:type="paragraph" w:styleId="596">
    <w:name w:val="toc 6"/>
    <w:basedOn w:val="418"/>
    <w:next w:val="418"/>
    <w:uiPriority w:val="39"/>
    <w:unhideWhenUsed/>
    <w:pPr>
      <w:ind w:left="1417"/>
      <w:spacing w:after="57"/>
    </w:pPr>
  </w:style>
  <w:style w:type="paragraph" w:styleId="597">
    <w:name w:val="toc 7"/>
    <w:basedOn w:val="418"/>
    <w:next w:val="418"/>
    <w:uiPriority w:val="39"/>
    <w:unhideWhenUsed/>
    <w:pPr>
      <w:ind w:left="1701"/>
      <w:spacing w:after="57"/>
    </w:pPr>
  </w:style>
  <w:style w:type="paragraph" w:styleId="598">
    <w:name w:val="toc 8"/>
    <w:basedOn w:val="418"/>
    <w:next w:val="418"/>
    <w:uiPriority w:val="39"/>
    <w:unhideWhenUsed/>
    <w:pPr>
      <w:ind w:left="1984"/>
      <w:spacing w:after="57"/>
    </w:pPr>
  </w:style>
  <w:style w:type="paragraph" w:styleId="599">
    <w:name w:val="toc 9"/>
    <w:basedOn w:val="418"/>
    <w:next w:val="418"/>
    <w:uiPriority w:val="39"/>
    <w:unhideWhenUsed/>
    <w:pPr>
      <w:ind w:left="2268"/>
      <w:spacing w:after="57"/>
    </w:pPr>
  </w:style>
  <w:style w:type="paragraph" w:styleId="600" w:customStyle="1">
    <w:name w:val="Titre 11"/>
    <w:basedOn w:val="418"/>
    <w:next w:val="418"/>
    <w:link w:val="629"/>
    <w:qFormat/>
    <w:rPr>
      <w:rFonts w:ascii="Nunito" w:hAnsi="Nunito" w:cs="Nunito" w:eastAsia="Nunito"/>
      <w:b/>
      <w:sz w:val="28"/>
      <w:szCs w:val="28"/>
    </w:rPr>
    <w:pPr>
      <w:keepNext/>
      <w:outlineLvl w:val="0"/>
    </w:pPr>
  </w:style>
  <w:style w:type="paragraph" w:styleId="601" w:customStyle="1">
    <w:name w:val="Titre 21"/>
    <w:basedOn w:val="418"/>
    <w:next w:val="418"/>
    <w:link w:val="610"/>
    <w:qFormat/>
    <w:rPr>
      <w:rFonts w:ascii="Nunito" w:hAnsi="Nunito" w:cs="Nunito" w:eastAsia="Nunito"/>
      <w:b/>
      <w:sz w:val="28"/>
      <w:szCs w:val="28"/>
    </w:rPr>
    <w:pPr>
      <w:jc w:val="center"/>
      <w:keepNext/>
      <w:outlineLvl w:val="1"/>
    </w:pPr>
  </w:style>
  <w:style w:type="paragraph" w:styleId="602" w:customStyle="1">
    <w:name w:val="Titre 31"/>
    <w:basedOn w:val="418"/>
    <w:next w:val="418"/>
    <w:link w:val="611"/>
    <w:qFormat/>
    <w:rPr>
      <w:b/>
      <w:sz w:val="28"/>
      <w:szCs w:val="28"/>
    </w:rPr>
    <w:pPr>
      <w:keepLines/>
      <w:keepNext/>
      <w:spacing w:after="80" w:before="280"/>
      <w:outlineLvl w:val="2"/>
    </w:pPr>
  </w:style>
  <w:style w:type="paragraph" w:styleId="603" w:customStyle="1">
    <w:name w:val="Titre 41"/>
    <w:basedOn w:val="418"/>
    <w:next w:val="418"/>
    <w:link w:val="612"/>
    <w:qFormat/>
    <w:rPr>
      <w:b/>
    </w:rPr>
    <w:pPr>
      <w:keepLines/>
      <w:keepNext/>
      <w:spacing w:after="40" w:before="240"/>
      <w:outlineLvl w:val="3"/>
    </w:pPr>
  </w:style>
  <w:style w:type="paragraph" w:styleId="604" w:customStyle="1">
    <w:name w:val="Titre 51"/>
    <w:basedOn w:val="418"/>
    <w:next w:val="418"/>
    <w:link w:val="613"/>
    <w:qFormat/>
    <w:rPr>
      <w:b/>
      <w:sz w:val="22"/>
      <w:szCs w:val="22"/>
    </w:rPr>
    <w:pPr>
      <w:keepLines/>
      <w:keepNext/>
      <w:spacing w:after="40" w:before="220"/>
      <w:outlineLvl w:val="4"/>
    </w:pPr>
  </w:style>
  <w:style w:type="paragraph" w:styleId="605" w:customStyle="1">
    <w:name w:val="Titre 61"/>
    <w:basedOn w:val="418"/>
    <w:next w:val="418"/>
    <w:link w:val="614"/>
    <w:qFormat/>
    <w:rPr>
      <w:b/>
      <w:sz w:val="20"/>
      <w:szCs w:val="20"/>
    </w:rPr>
    <w:pPr>
      <w:keepLines/>
      <w:keepNext/>
      <w:spacing w:after="40" w:before="200"/>
      <w:outlineLvl w:val="5"/>
    </w:pPr>
  </w:style>
  <w:style w:type="paragraph" w:styleId="606" w:customStyle="1">
    <w:name w:val="Titre 71"/>
    <w:basedOn w:val="418"/>
    <w:next w:val="418"/>
    <w:link w:val="615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paragraph" w:styleId="607" w:customStyle="1">
    <w:name w:val="Titre 81"/>
    <w:basedOn w:val="418"/>
    <w:next w:val="418"/>
    <w:link w:val="61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paragraph" w:styleId="608" w:customStyle="1">
    <w:name w:val="Titre 91"/>
    <w:basedOn w:val="418"/>
    <w:next w:val="418"/>
    <w:link w:val="617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09" w:customStyle="1">
    <w:name w:val="Titre 1 Car1"/>
    <w:basedOn w:val="428"/>
    <w:link w:val="419"/>
    <w:qFormat/>
    <w:uiPriority w:val="9"/>
    <w:rPr>
      <w:rFonts w:ascii="Arial" w:hAnsi="Arial" w:cs="Arial" w:eastAsia="Arial"/>
      <w:sz w:val="40"/>
      <w:szCs w:val="40"/>
    </w:rPr>
  </w:style>
  <w:style w:type="character" w:styleId="610" w:customStyle="1">
    <w:name w:val="Titre 2 Car"/>
    <w:basedOn w:val="428"/>
    <w:link w:val="601"/>
    <w:qFormat/>
    <w:uiPriority w:val="9"/>
    <w:rPr>
      <w:rFonts w:ascii="Arial" w:hAnsi="Arial" w:cs="Arial" w:eastAsia="Arial"/>
      <w:sz w:val="34"/>
    </w:rPr>
  </w:style>
  <w:style w:type="character" w:styleId="611" w:customStyle="1">
    <w:name w:val="Titre 3 Car"/>
    <w:basedOn w:val="428"/>
    <w:link w:val="602"/>
    <w:qFormat/>
    <w:uiPriority w:val="9"/>
    <w:rPr>
      <w:rFonts w:ascii="Arial" w:hAnsi="Arial" w:cs="Arial" w:eastAsia="Arial"/>
      <w:sz w:val="30"/>
      <w:szCs w:val="30"/>
    </w:rPr>
  </w:style>
  <w:style w:type="character" w:styleId="612" w:customStyle="1">
    <w:name w:val="Titre 4 Car"/>
    <w:basedOn w:val="428"/>
    <w:link w:val="603"/>
    <w:qFormat/>
    <w:uiPriority w:val="9"/>
    <w:rPr>
      <w:rFonts w:ascii="Arial" w:hAnsi="Arial" w:cs="Arial" w:eastAsia="Arial"/>
      <w:b/>
      <w:bCs/>
      <w:sz w:val="26"/>
      <w:szCs w:val="26"/>
    </w:rPr>
  </w:style>
  <w:style w:type="character" w:styleId="613" w:customStyle="1">
    <w:name w:val="Titre 5 Car"/>
    <w:basedOn w:val="428"/>
    <w:link w:val="604"/>
    <w:qFormat/>
    <w:uiPriority w:val="9"/>
    <w:rPr>
      <w:rFonts w:ascii="Arial" w:hAnsi="Arial" w:cs="Arial" w:eastAsia="Arial"/>
      <w:b/>
      <w:bCs/>
      <w:sz w:val="24"/>
      <w:szCs w:val="24"/>
    </w:rPr>
  </w:style>
  <w:style w:type="character" w:styleId="614" w:customStyle="1">
    <w:name w:val="Titre 6 Car"/>
    <w:basedOn w:val="428"/>
    <w:link w:val="605"/>
    <w:qFormat/>
    <w:uiPriority w:val="9"/>
    <w:rPr>
      <w:rFonts w:ascii="Arial" w:hAnsi="Arial" w:cs="Arial" w:eastAsia="Arial"/>
      <w:b/>
      <w:bCs/>
      <w:sz w:val="22"/>
      <w:szCs w:val="22"/>
    </w:rPr>
  </w:style>
  <w:style w:type="character" w:styleId="615" w:customStyle="1">
    <w:name w:val="Titre 7 Car"/>
    <w:basedOn w:val="428"/>
    <w:link w:val="606"/>
    <w:qFormat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616" w:customStyle="1">
    <w:name w:val="Titre 8 Car"/>
    <w:basedOn w:val="428"/>
    <w:link w:val="607"/>
    <w:qFormat/>
    <w:uiPriority w:val="9"/>
    <w:rPr>
      <w:rFonts w:ascii="Arial" w:hAnsi="Arial" w:cs="Arial" w:eastAsia="Arial"/>
      <w:i/>
      <w:iCs/>
      <w:sz w:val="22"/>
      <w:szCs w:val="22"/>
    </w:rPr>
  </w:style>
  <w:style w:type="character" w:styleId="617" w:customStyle="1">
    <w:name w:val="Titre 9 Car"/>
    <w:basedOn w:val="428"/>
    <w:link w:val="608"/>
    <w:qFormat/>
    <w:uiPriority w:val="9"/>
    <w:rPr>
      <w:rFonts w:ascii="Arial" w:hAnsi="Arial" w:cs="Arial" w:eastAsia="Arial"/>
      <w:i/>
      <w:iCs/>
      <w:sz w:val="21"/>
      <w:szCs w:val="21"/>
    </w:rPr>
  </w:style>
  <w:style w:type="character" w:styleId="618" w:customStyle="1">
    <w:name w:val="Titre Car"/>
    <w:basedOn w:val="428"/>
    <w:link w:val="630"/>
    <w:qFormat/>
    <w:uiPriority w:val="10"/>
    <w:rPr>
      <w:sz w:val="48"/>
      <w:szCs w:val="48"/>
    </w:rPr>
  </w:style>
  <w:style w:type="character" w:styleId="619" w:customStyle="1">
    <w:name w:val="Sous-titre Car"/>
    <w:basedOn w:val="428"/>
    <w:qFormat/>
    <w:uiPriority w:val="11"/>
    <w:rPr>
      <w:sz w:val="24"/>
      <w:szCs w:val="24"/>
    </w:rPr>
  </w:style>
  <w:style w:type="character" w:styleId="620" w:customStyle="1">
    <w:name w:val="Citation Car"/>
    <w:link w:val="637"/>
    <w:qFormat/>
    <w:uiPriority w:val="29"/>
    <w:rPr>
      <w:i/>
    </w:rPr>
  </w:style>
  <w:style w:type="character" w:styleId="621" w:customStyle="1">
    <w:name w:val="Citation intense Car"/>
    <w:link w:val="638"/>
    <w:qFormat/>
    <w:uiPriority w:val="30"/>
    <w:rPr>
      <w:i/>
    </w:rPr>
  </w:style>
  <w:style w:type="character" w:styleId="622" w:customStyle="1">
    <w:name w:val="En-tête Car"/>
    <w:basedOn w:val="428"/>
    <w:qFormat/>
    <w:uiPriority w:val="99"/>
  </w:style>
  <w:style w:type="character" w:styleId="623" w:customStyle="1">
    <w:name w:val="Pied de page Car"/>
    <w:basedOn w:val="428"/>
    <w:link w:val="641"/>
    <w:qFormat/>
    <w:uiPriority w:val="99"/>
  </w:style>
  <w:style w:type="character" w:styleId="624" w:customStyle="1">
    <w:name w:val="Lien Internet"/>
    <w:uiPriority w:val="99"/>
    <w:unhideWhenUsed/>
    <w:rPr>
      <w:color w:val="0000FF" w:themeColor="hyperlink"/>
      <w:u w:val="single"/>
    </w:rPr>
  </w:style>
  <w:style w:type="character" w:styleId="625" w:customStyle="1">
    <w:name w:val="Note de bas de page Car"/>
    <w:link w:val="642"/>
    <w:qFormat/>
    <w:uiPriority w:val="99"/>
    <w:rPr>
      <w:sz w:val="18"/>
    </w:rPr>
  </w:style>
  <w:style w:type="character" w:styleId="626" w:customStyle="1">
    <w:name w:val="Ancre de note de bas de page"/>
    <w:rPr>
      <w:vertAlign w:val="superscript"/>
    </w:rPr>
  </w:style>
  <w:style w:type="character" w:styleId="627" w:customStyle="1">
    <w:name w:val="Footnote Characters"/>
    <w:basedOn w:val="428"/>
    <w:qFormat/>
    <w:uiPriority w:val="99"/>
    <w:unhideWhenUsed/>
    <w:rPr>
      <w:vertAlign w:val="superscript"/>
    </w:rPr>
  </w:style>
  <w:style w:type="character" w:styleId="628" w:customStyle="1">
    <w:name w:val="Texte de bulles Car"/>
    <w:basedOn w:val="428"/>
    <w:link w:val="654"/>
    <w:qFormat/>
    <w:uiPriority w:val="99"/>
    <w:semiHidden/>
    <w:rPr>
      <w:rFonts w:ascii="Tahoma" w:hAnsi="Tahoma" w:cs="Tahoma"/>
      <w:sz w:val="16"/>
      <w:szCs w:val="16"/>
    </w:rPr>
  </w:style>
  <w:style w:type="character" w:styleId="629" w:customStyle="1">
    <w:name w:val="Titre 1 Car"/>
    <w:basedOn w:val="428"/>
    <w:link w:val="600"/>
    <w:qFormat/>
    <w:rPr>
      <w:rFonts w:ascii="Nunito" w:hAnsi="Nunito" w:cs="Nunito" w:eastAsia="Nunito"/>
      <w:b/>
      <w:sz w:val="28"/>
      <w:szCs w:val="28"/>
    </w:rPr>
  </w:style>
  <w:style w:type="paragraph" w:styleId="630">
    <w:name w:val="Title"/>
    <w:basedOn w:val="418"/>
    <w:next w:val="631"/>
    <w:link w:val="618"/>
    <w:qFormat/>
    <w:rPr>
      <w:rFonts w:ascii="Liberation Sans" w:hAnsi="Liberation Sans" w:cs="Liberation Sans" w:eastAsia="Liberation Sans"/>
      <w:sz w:val="28"/>
      <w:szCs w:val="28"/>
    </w:rPr>
    <w:pPr>
      <w:keepNext/>
      <w:spacing w:after="120" w:before="240"/>
    </w:pPr>
  </w:style>
  <w:style w:type="paragraph" w:styleId="631">
    <w:name w:val="Body Text"/>
    <w:basedOn w:val="418"/>
    <w:pPr>
      <w:spacing w:lineRule="auto" w:line="276" w:after="140"/>
    </w:pPr>
  </w:style>
  <w:style w:type="paragraph" w:styleId="632">
    <w:name w:val="List"/>
    <w:basedOn w:val="631"/>
    <w:rPr>
      <w:rFonts w:cs="Arial"/>
    </w:rPr>
  </w:style>
  <w:style w:type="paragraph" w:styleId="633" w:customStyle="1">
    <w:name w:val="Légende1"/>
    <w:basedOn w:val="418"/>
    <w:qFormat/>
    <w:rPr>
      <w:rFonts w:cs="Arial"/>
      <w:i/>
      <w:iCs/>
    </w:rPr>
    <w:pPr>
      <w:spacing w:after="120" w:before="120"/>
    </w:pPr>
  </w:style>
  <w:style w:type="paragraph" w:styleId="634" w:customStyle="1">
    <w:name w:val="Index"/>
    <w:basedOn w:val="418"/>
    <w:qFormat/>
    <w:rPr>
      <w:rFonts w:cs="Arial"/>
    </w:rPr>
  </w:style>
  <w:style w:type="paragraph" w:styleId="635">
    <w:name w:val="List Paragraph"/>
    <w:basedOn w:val="418"/>
    <w:qFormat/>
    <w:uiPriority w:val="34"/>
    <w:pPr>
      <w:contextualSpacing w:val="true"/>
      <w:ind w:left="720"/>
    </w:pPr>
  </w:style>
  <w:style w:type="paragraph" w:styleId="636">
    <w:name w:val="No Spacing"/>
    <w:qFormat/>
    <w:uiPriority w:val="1"/>
  </w:style>
  <w:style w:type="paragraph" w:styleId="637">
    <w:name w:val="Quote"/>
    <w:basedOn w:val="418"/>
    <w:next w:val="418"/>
    <w:link w:val="620"/>
    <w:qFormat/>
    <w:uiPriority w:val="29"/>
    <w:rPr>
      <w:i/>
    </w:rPr>
    <w:pPr>
      <w:ind w:left="720" w:right="720"/>
    </w:pPr>
  </w:style>
  <w:style w:type="paragraph" w:styleId="638">
    <w:name w:val="Intense Quote"/>
    <w:basedOn w:val="418"/>
    <w:next w:val="418"/>
    <w:link w:val="621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paragraph" w:styleId="639" w:customStyle="1">
    <w:name w:val="En-tête et pied de page"/>
    <w:basedOn w:val="418"/>
    <w:qFormat/>
  </w:style>
  <w:style w:type="paragraph" w:styleId="640" w:customStyle="1">
    <w:name w:val="En-tête1"/>
    <w:basedOn w:val="418"/>
    <w:uiPriority w:val="99"/>
    <w:unhideWhenUsed/>
    <w:pPr>
      <w:tabs>
        <w:tab w:val="center" w:pos="7143" w:leader="none"/>
        <w:tab w:val="right" w:pos="14287" w:leader="none"/>
      </w:tabs>
    </w:pPr>
  </w:style>
  <w:style w:type="paragraph" w:styleId="641" w:customStyle="1">
    <w:name w:val="Pied de page1"/>
    <w:basedOn w:val="418"/>
    <w:link w:val="623"/>
    <w:uiPriority w:val="99"/>
    <w:unhideWhenUsed/>
    <w:pPr>
      <w:tabs>
        <w:tab w:val="center" w:pos="7143" w:leader="none"/>
        <w:tab w:val="right" w:pos="14287" w:leader="none"/>
      </w:tabs>
    </w:pPr>
  </w:style>
  <w:style w:type="paragraph" w:styleId="642" w:customStyle="1">
    <w:name w:val="Note de bas de page1"/>
    <w:basedOn w:val="418"/>
    <w:link w:val="625"/>
    <w:uiPriority w:val="99"/>
    <w:semiHidden/>
    <w:unhideWhenUsed/>
    <w:rPr>
      <w:sz w:val="18"/>
    </w:rPr>
    <w:pPr>
      <w:spacing w:after="40"/>
    </w:pPr>
  </w:style>
  <w:style w:type="paragraph" w:styleId="643" w:customStyle="1">
    <w:name w:val="TM 11"/>
    <w:basedOn w:val="418"/>
    <w:next w:val="418"/>
    <w:uiPriority w:val="39"/>
    <w:unhideWhenUsed/>
    <w:pPr>
      <w:spacing w:after="57"/>
    </w:pPr>
  </w:style>
  <w:style w:type="paragraph" w:styleId="644" w:customStyle="1">
    <w:name w:val="TM 21"/>
    <w:basedOn w:val="418"/>
    <w:next w:val="418"/>
    <w:uiPriority w:val="39"/>
    <w:unhideWhenUsed/>
    <w:pPr>
      <w:ind w:left="283"/>
      <w:spacing w:after="57"/>
    </w:pPr>
  </w:style>
  <w:style w:type="paragraph" w:styleId="645" w:customStyle="1">
    <w:name w:val="TM 31"/>
    <w:basedOn w:val="418"/>
    <w:next w:val="418"/>
    <w:uiPriority w:val="39"/>
    <w:unhideWhenUsed/>
    <w:pPr>
      <w:ind w:left="567"/>
      <w:spacing w:after="57"/>
    </w:pPr>
  </w:style>
  <w:style w:type="paragraph" w:styleId="646" w:customStyle="1">
    <w:name w:val="TM 41"/>
    <w:basedOn w:val="418"/>
    <w:next w:val="418"/>
    <w:uiPriority w:val="39"/>
    <w:unhideWhenUsed/>
    <w:pPr>
      <w:ind w:left="850"/>
      <w:spacing w:after="57"/>
    </w:pPr>
  </w:style>
  <w:style w:type="paragraph" w:styleId="647" w:customStyle="1">
    <w:name w:val="TM 51"/>
    <w:basedOn w:val="418"/>
    <w:next w:val="418"/>
    <w:uiPriority w:val="39"/>
    <w:unhideWhenUsed/>
    <w:pPr>
      <w:ind w:left="1134"/>
      <w:spacing w:after="57"/>
    </w:pPr>
  </w:style>
  <w:style w:type="paragraph" w:styleId="648" w:customStyle="1">
    <w:name w:val="TM 61"/>
    <w:basedOn w:val="418"/>
    <w:next w:val="418"/>
    <w:uiPriority w:val="39"/>
    <w:unhideWhenUsed/>
    <w:pPr>
      <w:ind w:left="1417"/>
      <w:spacing w:after="57"/>
    </w:pPr>
  </w:style>
  <w:style w:type="paragraph" w:styleId="649" w:customStyle="1">
    <w:name w:val="TM 71"/>
    <w:basedOn w:val="418"/>
    <w:next w:val="418"/>
    <w:uiPriority w:val="39"/>
    <w:unhideWhenUsed/>
    <w:pPr>
      <w:ind w:left="1701"/>
      <w:spacing w:after="57"/>
    </w:pPr>
  </w:style>
  <w:style w:type="paragraph" w:styleId="650" w:customStyle="1">
    <w:name w:val="TM 81"/>
    <w:basedOn w:val="418"/>
    <w:next w:val="418"/>
    <w:uiPriority w:val="39"/>
    <w:unhideWhenUsed/>
    <w:pPr>
      <w:ind w:left="1984"/>
      <w:spacing w:after="57"/>
    </w:pPr>
  </w:style>
  <w:style w:type="paragraph" w:styleId="651" w:customStyle="1">
    <w:name w:val="TM 91"/>
    <w:basedOn w:val="418"/>
    <w:next w:val="418"/>
    <w:uiPriority w:val="39"/>
    <w:unhideWhenUsed/>
    <w:pPr>
      <w:ind w:left="2268"/>
      <w:spacing w:after="57"/>
    </w:pPr>
  </w:style>
  <w:style w:type="paragraph" w:styleId="652">
    <w:name w:val="TOC Heading"/>
    <w:qFormat/>
    <w:uiPriority w:val="39"/>
    <w:unhideWhenUsed/>
  </w:style>
  <w:style w:type="paragraph" w:styleId="653">
    <w:name w:val="Subtitle"/>
    <w:basedOn w:val="418"/>
    <w:next w:val="418"/>
    <w:link w:val="472"/>
    <w:qFormat/>
    <w:rPr>
      <w:rFonts w:ascii="Georgia" w:hAnsi="Georgia" w:cs="Georgia" w:eastAsia="Georgia"/>
      <w:i/>
      <w:color w:val="666666"/>
      <w:sz w:val="48"/>
      <w:szCs w:val="48"/>
    </w:rPr>
    <w:pPr>
      <w:keepLines/>
      <w:keepNext/>
      <w:spacing w:after="80" w:before="360"/>
    </w:pPr>
  </w:style>
  <w:style w:type="paragraph" w:styleId="654">
    <w:name w:val="Balloon Text"/>
    <w:basedOn w:val="418"/>
    <w:link w:val="628"/>
    <w:qFormat/>
    <w:uiPriority w:val="99"/>
    <w:semiHidden/>
    <w:unhideWhenUsed/>
    <w:rPr>
      <w:rFonts w:ascii="Tahoma" w:hAnsi="Tahoma" w:cs="Tahoma"/>
      <w:sz w:val="16"/>
      <w:szCs w:val="16"/>
    </w:rPr>
  </w:style>
  <w:style w:type="paragraph" w:styleId="655">
    <w:name w:val="Normal (Web)"/>
    <w:basedOn w:val="418"/>
    <w:qFormat/>
    <w:uiPriority w:val="99"/>
    <w:unhideWhenUsed/>
    <w:rPr>
      <w:color w:val="auto"/>
    </w:rPr>
    <w:pPr>
      <w:spacing w:afterAutospacing="1" w:beforeAutospacing="1"/>
    </w:pPr>
  </w:style>
  <w:style w:type="paragraph" w:styleId="656" w:customStyle="1">
    <w:name w:val="Contenu de cadre"/>
    <w:basedOn w:val="418"/>
    <w:qFormat/>
  </w:style>
  <w:style w:type="table" w:styleId="657">
    <w:name w:val="Table Grid"/>
    <w:basedOn w:val="429"/>
    <w:uiPriority w:val="59"/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658" w:customStyle="1">
    <w:name w:val="Lined"/>
    <w:basedOn w:val="429"/>
    <w:uiPriority w:val="99"/>
    <w:rPr>
      <w:color w:val="404040"/>
      <w:sz w:val="20"/>
      <w:szCs w:val="20"/>
    </w:r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F2F2F2"/>
      </w:tcPr>
    </w:tblStylePr>
    <w:tblStylePr w:type="band2Vert">
      <w:rPr>
        <w:color w:val="404040"/>
        <w:sz w:val="22"/>
      </w:rPr>
      <w:tcPr>
        <w:shd w:val="clear" w:color="auto" w:fill="F2F2F2"/>
      </w:tcPr>
    </w:tblStylePr>
    <w:tblStylePr w:type="firstCol">
      <w:rPr>
        <w:color w:val="F2F2F2"/>
        <w:sz w:val="22"/>
      </w:rPr>
      <w:tcPr>
        <w:shd w:val="clear" w:color="auto" w:fill="7F7F7F"/>
      </w:tcPr>
    </w:tblStylePr>
    <w:tblStylePr w:type="firstRow">
      <w:rPr>
        <w:color w:val="F2F2F2"/>
        <w:sz w:val="22"/>
      </w:rPr>
      <w:tcPr>
        <w:shd w:val="clear" w:color="auto" w:fill="7F7F7F"/>
      </w:tcPr>
    </w:tblStylePr>
    <w:tblStylePr w:type="lastCol">
      <w:rPr>
        <w:color w:val="F2F2F2"/>
        <w:sz w:val="22"/>
      </w:rPr>
      <w:tcPr>
        <w:shd w:val="clear" w:color="auto" w:fill="7F7F7F"/>
      </w:tcPr>
    </w:tblStylePr>
    <w:tblStylePr w:type="lastRow">
      <w:rPr>
        <w:color w:val="F2F2F2"/>
        <w:sz w:val="22"/>
      </w:rPr>
      <w:tcPr>
        <w:shd w:val="clear" w:color="auto" w:fill="7F7F7F"/>
      </w:tcPr>
    </w:tblStylePr>
  </w:style>
  <w:style w:type="table" w:styleId="659" w:customStyle="1">
    <w:name w:val="Lined - Accent 1"/>
    <w:basedOn w:val="429"/>
    <w:uiPriority w:val="99"/>
    <w:rPr>
      <w:color w:val="404040"/>
      <w:sz w:val="20"/>
      <w:szCs w:val="20"/>
    </w:r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C6D9F1"/>
      </w:tcPr>
    </w:tblStylePr>
    <w:tblStylePr w:type="band2Vert">
      <w:rPr>
        <w:color w:val="404040"/>
        <w:sz w:val="22"/>
      </w:rPr>
      <w:tcPr>
        <w:shd w:val="clear" w:color="auto" w:fill="C6D9F1"/>
      </w:tcPr>
    </w:tblStylePr>
    <w:tblStylePr w:type="firstCol">
      <w:rPr>
        <w:color w:val="F2F2F2"/>
        <w:sz w:val="22"/>
      </w:rPr>
      <w:tcPr>
        <w:shd w:val="clear" w:color="auto" w:fill="548DD4"/>
      </w:tcPr>
    </w:tblStylePr>
    <w:tblStylePr w:type="firstRow">
      <w:rPr>
        <w:color w:val="F2F2F2"/>
        <w:sz w:val="22"/>
      </w:rPr>
      <w:tcPr>
        <w:shd w:val="clear" w:color="auto" w:fill="548DD4"/>
      </w:tcPr>
    </w:tblStylePr>
    <w:tblStylePr w:type="lastCol">
      <w:rPr>
        <w:color w:val="F2F2F2"/>
        <w:sz w:val="22"/>
      </w:rPr>
      <w:tcPr>
        <w:shd w:val="clear" w:color="auto" w:fill="548DD4"/>
      </w:tcPr>
    </w:tblStylePr>
    <w:tblStylePr w:type="lastRow">
      <w:rPr>
        <w:color w:val="F2F2F2"/>
        <w:sz w:val="22"/>
      </w:rPr>
      <w:tcPr>
        <w:shd w:val="clear" w:color="auto" w:fill="548DD4"/>
      </w:tcPr>
    </w:tblStylePr>
  </w:style>
  <w:style w:type="table" w:styleId="660" w:customStyle="1">
    <w:name w:val="Lined - Accent 2"/>
    <w:basedOn w:val="429"/>
    <w:uiPriority w:val="99"/>
    <w:rPr>
      <w:color w:val="404040"/>
      <w:sz w:val="20"/>
      <w:szCs w:val="20"/>
    </w:r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F2DBDB"/>
      </w:tcPr>
    </w:tblStylePr>
    <w:tblStylePr w:type="band2Vert">
      <w:rPr>
        <w:color w:val="404040"/>
        <w:sz w:val="22"/>
      </w:rPr>
      <w:tcPr>
        <w:shd w:val="clear" w:color="auto" w:fill="F2DBDB"/>
      </w:tcPr>
    </w:tblStylePr>
    <w:tblStylePr w:type="firstCol">
      <w:rPr>
        <w:color w:val="F2F2F2"/>
        <w:sz w:val="22"/>
      </w:rPr>
      <w:tcPr>
        <w:shd w:val="clear" w:color="auto" w:fill="D99594"/>
      </w:tcPr>
    </w:tblStylePr>
    <w:tblStylePr w:type="firstRow">
      <w:rPr>
        <w:color w:val="F2F2F2"/>
        <w:sz w:val="22"/>
      </w:rPr>
      <w:tcPr>
        <w:shd w:val="clear" w:color="auto" w:fill="D99594"/>
      </w:tcPr>
    </w:tblStylePr>
    <w:tblStylePr w:type="lastCol">
      <w:rPr>
        <w:color w:val="F2F2F2"/>
        <w:sz w:val="22"/>
      </w:rPr>
      <w:tcPr>
        <w:shd w:val="clear" w:color="auto" w:fill="D99594"/>
      </w:tcPr>
    </w:tblStylePr>
    <w:tblStylePr w:type="lastRow">
      <w:rPr>
        <w:color w:val="F2F2F2"/>
        <w:sz w:val="22"/>
      </w:rPr>
      <w:tcPr>
        <w:shd w:val="clear" w:color="auto" w:fill="D99594"/>
      </w:tcPr>
    </w:tblStylePr>
  </w:style>
  <w:style w:type="table" w:styleId="661" w:customStyle="1">
    <w:name w:val="Lined - Accent 3"/>
    <w:basedOn w:val="429"/>
    <w:uiPriority w:val="99"/>
    <w:rPr>
      <w:color w:val="404040"/>
      <w:sz w:val="20"/>
      <w:szCs w:val="20"/>
    </w:r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EAF1DD"/>
      </w:tcPr>
    </w:tblStylePr>
    <w:tblStylePr w:type="band2Vert">
      <w:rPr>
        <w:color w:val="404040"/>
        <w:sz w:val="22"/>
      </w:rPr>
      <w:tcPr>
        <w:shd w:val="clear" w:color="auto" w:fill="EAF1DD"/>
      </w:tcPr>
    </w:tblStylePr>
    <w:tblStylePr w:type="firstCol">
      <w:rPr>
        <w:color w:val="F2F2F2"/>
        <w:sz w:val="22"/>
      </w:rPr>
      <w:tcPr>
        <w:shd w:val="clear" w:color="auto" w:fill="9BB559"/>
      </w:tcPr>
    </w:tblStylePr>
    <w:tblStylePr w:type="firstRow">
      <w:rPr>
        <w:color w:val="F2F2F2"/>
        <w:sz w:val="22"/>
      </w:rPr>
      <w:tcPr>
        <w:shd w:val="clear" w:color="auto" w:fill="9BB559"/>
      </w:tcPr>
    </w:tblStylePr>
    <w:tblStylePr w:type="lastCol">
      <w:rPr>
        <w:color w:val="F2F2F2"/>
        <w:sz w:val="22"/>
      </w:rPr>
      <w:tcPr>
        <w:shd w:val="clear" w:color="auto" w:fill="9BB559"/>
      </w:tcPr>
    </w:tblStylePr>
    <w:tblStylePr w:type="lastRow">
      <w:rPr>
        <w:color w:val="F2F2F2"/>
        <w:sz w:val="22"/>
      </w:rPr>
      <w:tcPr>
        <w:shd w:val="clear" w:color="auto" w:fill="9BB559"/>
      </w:tcPr>
    </w:tblStylePr>
  </w:style>
  <w:style w:type="table" w:styleId="662" w:customStyle="1">
    <w:name w:val="Lined - Accent 4"/>
    <w:basedOn w:val="429"/>
    <w:uiPriority w:val="99"/>
    <w:rPr>
      <w:color w:val="404040"/>
      <w:sz w:val="20"/>
      <w:szCs w:val="20"/>
    </w:r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E5DFEC"/>
      </w:tcPr>
    </w:tblStylePr>
    <w:tblStylePr w:type="band2Vert">
      <w:rPr>
        <w:color w:val="404040"/>
        <w:sz w:val="22"/>
      </w:rPr>
      <w:tcPr>
        <w:shd w:val="clear" w:color="auto" w:fill="E5DFEC"/>
      </w:tcPr>
    </w:tblStylePr>
    <w:tblStylePr w:type="firstCol">
      <w:rPr>
        <w:color w:val="F2F2F2"/>
        <w:sz w:val="22"/>
      </w:rPr>
      <w:tcPr>
        <w:shd w:val="clear" w:color="auto" w:fill="B2A1C7"/>
      </w:tcPr>
    </w:tblStylePr>
    <w:tblStylePr w:type="firstRow">
      <w:rPr>
        <w:color w:val="F2F2F2"/>
        <w:sz w:val="22"/>
      </w:rPr>
      <w:tcPr>
        <w:shd w:val="clear" w:color="auto" w:fill="B2A1C7"/>
      </w:tcPr>
    </w:tblStylePr>
    <w:tblStylePr w:type="lastCol">
      <w:rPr>
        <w:color w:val="F2F2F2"/>
        <w:sz w:val="22"/>
      </w:rPr>
      <w:tcPr>
        <w:shd w:val="clear" w:color="auto" w:fill="B2A1C7"/>
      </w:tcPr>
    </w:tblStylePr>
    <w:tblStylePr w:type="lastRow">
      <w:rPr>
        <w:color w:val="F2F2F2"/>
        <w:sz w:val="22"/>
      </w:rPr>
      <w:tcPr>
        <w:shd w:val="clear" w:color="auto" w:fill="B2A1C7"/>
      </w:tcPr>
    </w:tblStylePr>
  </w:style>
  <w:style w:type="table" w:styleId="663" w:customStyle="1">
    <w:name w:val="Lined - Accent 5"/>
    <w:basedOn w:val="429"/>
    <w:uiPriority w:val="99"/>
    <w:rPr>
      <w:color w:val="404040"/>
      <w:sz w:val="20"/>
      <w:szCs w:val="20"/>
    </w:r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DAEEF3"/>
      </w:tcPr>
    </w:tblStylePr>
    <w:tblStylePr w:type="band2Vert">
      <w:rPr>
        <w:color w:val="404040"/>
        <w:sz w:val="22"/>
      </w:rPr>
      <w:tcPr>
        <w:shd w:val="clear" w:color="auto" w:fill="DAEEF3"/>
      </w:tcPr>
    </w:tblStylePr>
    <w:tblStylePr w:type="firstCol">
      <w:rPr>
        <w:color w:val="F2F2F2"/>
        <w:sz w:val="22"/>
      </w:rPr>
      <w:tcPr>
        <w:shd w:val="clear" w:color="auto" w:fill="4BACC6"/>
      </w:tcPr>
    </w:tblStylePr>
    <w:tblStylePr w:type="firstRow">
      <w:rPr>
        <w:color w:val="F2F2F2"/>
        <w:sz w:val="22"/>
      </w:rPr>
      <w:tcPr>
        <w:shd w:val="clear" w:color="auto" w:fill="4BACC6"/>
      </w:tcPr>
    </w:tblStylePr>
    <w:tblStylePr w:type="lastCol">
      <w:rPr>
        <w:color w:val="F2F2F2"/>
        <w:sz w:val="22"/>
      </w:rPr>
      <w:tcPr>
        <w:shd w:val="clear" w:color="auto" w:fill="4BACC6"/>
      </w:tcPr>
    </w:tblStylePr>
    <w:tblStylePr w:type="lastRow">
      <w:rPr>
        <w:color w:val="F2F2F2"/>
        <w:sz w:val="22"/>
      </w:rPr>
      <w:tcPr>
        <w:shd w:val="clear" w:color="auto" w:fill="4BACC6"/>
      </w:tcPr>
    </w:tblStylePr>
  </w:style>
  <w:style w:type="table" w:styleId="664" w:customStyle="1">
    <w:name w:val="Lined - Accent 6"/>
    <w:basedOn w:val="429"/>
    <w:uiPriority w:val="99"/>
    <w:rPr>
      <w:color w:val="404040"/>
      <w:sz w:val="20"/>
      <w:szCs w:val="20"/>
    </w:rPr>
    <w:tblPr>
      <w:tblStyleRowBandSize w:val="1"/>
      <w:tblStyleColBandSize w:val="1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FDE9D9"/>
      </w:tcPr>
    </w:tblStylePr>
    <w:tblStylePr w:type="band2Vert">
      <w:rPr>
        <w:color w:val="404040"/>
        <w:sz w:val="22"/>
      </w:rPr>
      <w:tcPr>
        <w:shd w:val="clear" w:color="auto" w:fill="FDE9D9"/>
      </w:tcPr>
    </w:tblStylePr>
    <w:tblStylePr w:type="firstCol">
      <w:rPr>
        <w:color w:val="F2F2F2"/>
        <w:sz w:val="22"/>
      </w:rPr>
      <w:tcPr>
        <w:shd w:val="clear" w:color="auto" w:fill="F79646"/>
      </w:tcPr>
    </w:tblStylePr>
    <w:tblStylePr w:type="firstRow">
      <w:rPr>
        <w:color w:val="F2F2F2"/>
        <w:sz w:val="22"/>
      </w:rPr>
      <w:tcPr>
        <w:shd w:val="clear" w:color="auto" w:fill="F79646"/>
      </w:tcPr>
    </w:tblStylePr>
    <w:tblStylePr w:type="lastCol">
      <w:rPr>
        <w:color w:val="F2F2F2"/>
        <w:sz w:val="22"/>
      </w:rPr>
      <w:tcPr>
        <w:shd w:val="clear" w:color="auto" w:fill="F79646"/>
      </w:tcPr>
    </w:tblStylePr>
    <w:tblStylePr w:type="lastRow">
      <w:rPr>
        <w:color w:val="F2F2F2"/>
        <w:sz w:val="22"/>
      </w:rPr>
      <w:tcPr>
        <w:shd w:val="clear" w:color="auto" w:fill="F79646"/>
      </w:tcPr>
    </w:tblStylePr>
  </w:style>
  <w:style w:type="table" w:styleId="665" w:customStyle="1">
    <w:name w:val="Bordered"/>
    <w:basedOn w:val="429"/>
    <w:uiPriority w:val="99"/>
    <w:tblPr>
      <w:tblStyleRowBandSize w:val="1"/>
      <w:tblStyleColBandSize w:val="1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666" w:customStyle="1">
    <w:name w:val="Bordered - Accent 1"/>
    <w:basedOn w:val="429"/>
    <w:uiPriority w:val="99"/>
    <w:tblPr>
      <w:tblStyleRowBandSize w:val="1"/>
      <w:tblStyleColBandSize w:val="1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667" w:customStyle="1">
    <w:name w:val="Bordered - Accent 2"/>
    <w:basedOn w:val="429"/>
    <w:uiPriority w:val="99"/>
    <w:tblPr>
      <w:tblStyleRowBandSize w:val="1"/>
      <w:tblStyleColBandSize w:val="1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668" w:customStyle="1">
    <w:name w:val="Bordered - Accent 3"/>
    <w:basedOn w:val="429"/>
    <w:uiPriority w:val="99"/>
    <w:tblPr>
      <w:tblStyleRowBandSize w:val="1"/>
      <w:tblStyleColBandSize w:val="1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669" w:customStyle="1">
    <w:name w:val="Bordered - Accent 4"/>
    <w:basedOn w:val="429"/>
    <w:uiPriority w:val="99"/>
    <w:tblPr>
      <w:tblStyleRowBandSize w:val="1"/>
      <w:tblStyleColBandSize w:val="1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670" w:customStyle="1">
    <w:name w:val="Bordered - Accent 5"/>
    <w:basedOn w:val="429"/>
    <w:uiPriority w:val="99"/>
    <w:tblPr>
      <w:tblStyleRowBandSize w:val="1"/>
      <w:tblStyleColBandSize w:val="1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671" w:customStyle="1">
    <w:name w:val="Bordered - Accent 6"/>
    <w:basedOn w:val="429"/>
    <w:uiPriority w:val="99"/>
    <w:tblPr>
      <w:tblStyleRowBandSize w:val="1"/>
      <w:tblStyleColBandSize w:val="1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672" w:customStyle="1">
    <w:name w:val="Bordered &amp; Lined"/>
    <w:basedOn w:val="429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F2F2F2"/>
      </w:tcPr>
    </w:tblStylePr>
    <w:tblStylePr w:type="band2Vert">
      <w:rPr>
        <w:color w:val="404040"/>
        <w:sz w:val="22"/>
      </w:rPr>
      <w:tcPr>
        <w:shd w:val="clear" w:color="auto" w:fill="D9D9D9"/>
      </w:tcPr>
    </w:tblStylePr>
    <w:tblStylePr w:type="firstCol">
      <w:rPr>
        <w:color w:val="F2F2F2"/>
        <w:sz w:val="22"/>
      </w:rPr>
      <w:tcPr>
        <w:shd w:val="clear" w:color="auto" w:fill="7F7F7F"/>
      </w:tcPr>
    </w:tblStylePr>
    <w:tblStylePr w:type="firstRow">
      <w:rPr>
        <w:color w:val="F2F2F2"/>
        <w:sz w:val="22"/>
      </w:rPr>
      <w:tcPr>
        <w:shd w:val="clear" w:color="auto" w:fill="7F7F7F"/>
      </w:tcPr>
    </w:tblStylePr>
    <w:tblStylePr w:type="lastCol">
      <w:rPr>
        <w:color w:val="F2F2F2"/>
        <w:sz w:val="22"/>
      </w:rPr>
      <w:tcPr>
        <w:shd w:val="clear" w:color="auto" w:fill="7F7F7F"/>
      </w:tcPr>
    </w:tblStylePr>
    <w:tblStylePr w:type="lastRow">
      <w:rPr>
        <w:color w:val="F2F2F2"/>
        <w:sz w:val="22"/>
      </w:rPr>
      <w:tcPr>
        <w:shd w:val="clear" w:color="auto" w:fill="7F7F7F"/>
      </w:tcPr>
    </w:tblStylePr>
  </w:style>
  <w:style w:type="table" w:styleId="673" w:customStyle="1">
    <w:name w:val="Bordered &amp; Lined - Accent 1"/>
    <w:basedOn w:val="429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C6D9F1"/>
      </w:tcPr>
    </w:tblStylePr>
    <w:tblStylePr w:type="band2Vert">
      <w:rPr>
        <w:color w:val="404040"/>
        <w:sz w:val="22"/>
      </w:rPr>
      <w:tcPr>
        <w:shd w:val="clear" w:color="auto" w:fill="C6D9F1"/>
      </w:tcPr>
    </w:tblStylePr>
    <w:tblStylePr w:type="firstCol">
      <w:rPr>
        <w:color w:val="F2F2F2"/>
        <w:sz w:val="22"/>
      </w:rPr>
      <w:tcPr>
        <w:shd w:val="clear" w:color="auto" w:fill="548DD4"/>
      </w:tcPr>
    </w:tblStylePr>
    <w:tblStylePr w:type="firstRow">
      <w:rPr>
        <w:color w:val="F2F2F2"/>
        <w:sz w:val="22"/>
      </w:rPr>
      <w:tcPr>
        <w:shd w:val="clear" w:color="auto" w:fill="548DD4"/>
      </w:tcPr>
    </w:tblStylePr>
    <w:tblStylePr w:type="lastCol">
      <w:rPr>
        <w:color w:val="F2F2F2"/>
        <w:sz w:val="22"/>
      </w:rPr>
      <w:tcPr>
        <w:shd w:val="clear" w:color="auto" w:fill="548DD4"/>
      </w:tcPr>
    </w:tblStylePr>
    <w:tblStylePr w:type="lastRow">
      <w:rPr>
        <w:color w:val="F2F2F2"/>
        <w:sz w:val="22"/>
      </w:rPr>
      <w:tcPr>
        <w:shd w:val="clear" w:color="auto" w:fill="548DD4"/>
      </w:tcPr>
    </w:tblStylePr>
  </w:style>
  <w:style w:type="table" w:styleId="674" w:customStyle="1">
    <w:name w:val="Bordered &amp; Lined - Accent 2"/>
    <w:basedOn w:val="429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F2DBDB"/>
      </w:tcPr>
    </w:tblStylePr>
    <w:tblStylePr w:type="band2Vert">
      <w:rPr>
        <w:color w:val="404040"/>
        <w:sz w:val="22"/>
      </w:rPr>
      <w:tcPr>
        <w:shd w:val="clear" w:color="auto" w:fill="F2DBDB"/>
      </w:tcPr>
    </w:tblStylePr>
    <w:tblStylePr w:type="firstCol">
      <w:rPr>
        <w:color w:val="F2F2F2"/>
        <w:sz w:val="22"/>
      </w:rPr>
      <w:tcPr>
        <w:shd w:val="clear" w:color="auto" w:fill="D99594"/>
      </w:tcPr>
    </w:tblStylePr>
    <w:tblStylePr w:type="firstRow">
      <w:rPr>
        <w:color w:val="F2F2F2"/>
        <w:sz w:val="22"/>
      </w:rPr>
      <w:tcPr>
        <w:shd w:val="clear" w:color="auto" w:fill="D99594"/>
      </w:tcPr>
    </w:tblStylePr>
    <w:tblStylePr w:type="lastCol">
      <w:rPr>
        <w:color w:val="F2F2F2"/>
        <w:sz w:val="22"/>
      </w:rPr>
      <w:tcPr>
        <w:shd w:val="clear" w:color="auto" w:fill="D99594"/>
      </w:tcPr>
    </w:tblStylePr>
    <w:tblStylePr w:type="lastRow">
      <w:rPr>
        <w:color w:val="F2F2F2"/>
        <w:sz w:val="22"/>
      </w:rPr>
      <w:tcPr>
        <w:shd w:val="clear" w:color="auto" w:fill="D99594"/>
      </w:tcPr>
    </w:tblStylePr>
  </w:style>
  <w:style w:type="table" w:styleId="675" w:customStyle="1">
    <w:name w:val="Bordered &amp; Lined - Accent 3"/>
    <w:basedOn w:val="429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EAF1DD"/>
      </w:tcPr>
    </w:tblStylePr>
    <w:tblStylePr w:type="band2Vert">
      <w:rPr>
        <w:color w:val="404040"/>
        <w:sz w:val="22"/>
      </w:rPr>
      <w:tcPr>
        <w:shd w:val="clear" w:color="auto" w:fill="EAF1DD"/>
      </w:tcPr>
    </w:tblStylePr>
    <w:tblStylePr w:type="firstCol">
      <w:rPr>
        <w:color w:val="F2F2F2"/>
        <w:sz w:val="22"/>
      </w:rPr>
      <w:tcPr>
        <w:shd w:val="clear" w:color="auto" w:fill="9BBB59"/>
      </w:tcPr>
    </w:tblStylePr>
    <w:tblStylePr w:type="firstRow">
      <w:rPr>
        <w:color w:val="F2F2F2"/>
        <w:sz w:val="22"/>
      </w:rPr>
      <w:tcPr>
        <w:shd w:val="clear" w:color="auto" w:fill="9BBB59"/>
      </w:tcPr>
    </w:tblStylePr>
    <w:tblStylePr w:type="lastCol">
      <w:rPr>
        <w:color w:val="F2F2F2"/>
        <w:sz w:val="22"/>
      </w:rPr>
      <w:tcPr>
        <w:shd w:val="clear" w:color="auto" w:fill="9BBB59"/>
      </w:tcPr>
    </w:tblStylePr>
    <w:tblStylePr w:type="lastRow">
      <w:rPr>
        <w:color w:val="F2F2F2"/>
        <w:sz w:val="22"/>
      </w:rPr>
      <w:tcPr>
        <w:shd w:val="clear" w:color="auto" w:fill="9BBB59"/>
      </w:tcPr>
    </w:tblStylePr>
  </w:style>
  <w:style w:type="table" w:styleId="676" w:customStyle="1">
    <w:name w:val="Bordered &amp; Lined - Accent 4"/>
    <w:basedOn w:val="429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E5DFEC"/>
      </w:tcPr>
    </w:tblStylePr>
    <w:tblStylePr w:type="band2Vert">
      <w:rPr>
        <w:color w:val="404040"/>
        <w:sz w:val="22"/>
      </w:rPr>
      <w:tcPr>
        <w:shd w:val="clear" w:color="auto" w:fill="E5DFEC"/>
      </w:tcPr>
    </w:tblStylePr>
    <w:tblStylePr w:type="firstCol">
      <w:rPr>
        <w:color w:val="F2F2F2"/>
        <w:sz w:val="22"/>
      </w:rPr>
      <w:tcPr>
        <w:shd w:val="clear" w:color="auto" w:fill="B2A1C7"/>
      </w:tcPr>
    </w:tblStylePr>
    <w:tblStylePr w:type="firstRow">
      <w:rPr>
        <w:color w:val="F2F2F2"/>
        <w:sz w:val="22"/>
      </w:rPr>
      <w:tcPr>
        <w:shd w:val="clear" w:color="auto" w:fill="B2A1C7"/>
      </w:tcPr>
    </w:tblStylePr>
    <w:tblStylePr w:type="lastCol">
      <w:rPr>
        <w:color w:val="F2F2F2"/>
        <w:sz w:val="22"/>
      </w:rPr>
      <w:tcPr>
        <w:shd w:val="clear" w:color="auto" w:fill="B2A1C7"/>
      </w:tcPr>
    </w:tblStylePr>
    <w:tblStylePr w:type="lastRow">
      <w:rPr>
        <w:color w:val="F2F2F2"/>
        <w:sz w:val="22"/>
      </w:rPr>
      <w:tcPr>
        <w:shd w:val="clear" w:color="auto" w:fill="B2A1C7"/>
      </w:tcPr>
    </w:tblStylePr>
  </w:style>
  <w:style w:type="table" w:styleId="677" w:customStyle="1">
    <w:name w:val="Bordered &amp; Lined - Accent 5"/>
    <w:basedOn w:val="429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DAEEF3"/>
      </w:tcPr>
    </w:tblStylePr>
    <w:tblStylePr w:type="band2Vert">
      <w:rPr>
        <w:color w:val="404040"/>
        <w:sz w:val="22"/>
      </w:rPr>
      <w:tcPr>
        <w:shd w:val="clear" w:color="auto" w:fill="DAEEF3"/>
      </w:tcPr>
    </w:tblStylePr>
    <w:tblStylePr w:type="firstCol">
      <w:rPr>
        <w:color w:val="F2F2F2"/>
        <w:sz w:val="22"/>
      </w:rPr>
      <w:tcPr>
        <w:shd w:val="clear" w:color="auto" w:fill="4BACC6"/>
      </w:tcPr>
    </w:tblStylePr>
    <w:tblStylePr w:type="firstRow">
      <w:rPr>
        <w:color w:val="F2F2F2"/>
        <w:sz w:val="22"/>
      </w:rPr>
      <w:tcPr>
        <w:shd w:val="clear" w:color="auto" w:fill="4BACC6"/>
      </w:tcPr>
    </w:tblStylePr>
    <w:tblStylePr w:type="lastCol">
      <w:rPr>
        <w:color w:val="F2F2F2"/>
        <w:sz w:val="22"/>
      </w:rPr>
      <w:tcPr>
        <w:shd w:val="clear" w:color="auto" w:fill="4BACC6"/>
      </w:tcPr>
    </w:tblStylePr>
    <w:tblStylePr w:type="lastRow">
      <w:rPr>
        <w:color w:val="F2F2F2"/>
        <w:sz w:val="22"/>
      </w:rPr>
      <w:tcPr>
        <w:shd w:val="clear" w:color="auto" w:fill="4BACC6"/>
      </w:tcPr>
    </w:tblStylePr>
  </w:style>
  <w:style w:type="table" w:styleId="678" w:customStyle="1">
    <w:name w:val="Bordered &amp; Lined - Accent 6"/>
    <w:basedOn w:val="429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auto" w:fill="FDE9D9"/>
      </w:tcPr>
    </w:tblStylePr>
    <w:tblStylePr w:type="band2Vert">
      <w:rPr>
        <w:color w:val="404040"/>
        <w:sz w:val="22"/>
      </w:rPr>
      <w:tcPr>
        <w:shd w:val="clear" w:color="auto" w:fill="FDE9D9"/>
      </w:tcPr>
    </w:tblStylePr>
    <w:tblStylePr w:type="firstCol">
      <w:rPr>
        <w:color w:val="F2F2F2"/>
        <w:sz w:val="22"/>
      </w:rPr>
      <w:tcPr>
        <w:shd w:val="clear" w:color="auto" w:fill="F79646"/>
      </w:tcPr>
    </w:tblStylePr>
    <w:tblStylePr w:type="firstRow">
      <w:rPr>
        <w:color w:val="F2F2F2"/>
        <w:sz w:val="22"/>
      </w:rPr>
      <w:tcPr>
        <w:shd w:val="clear" w:color="auto" w:fill="F79646"/>
      </w:tcPr>
    </w:tblStylePr>
    <w:tblStylePr w:type="lastCol">
      <w:rPr>
        <w:color w:val="F2F2F2"/>
        <w:sz w:val="22"/>
      </w:rPr>
      <w:tcPr>
        <w:shd w:val="clear" w:color="auto" w:fill="F79646"/>
      </w:tcPr>
    </w:tblStylePr>
    <w:tblStylePr w:type="lastRow">
      <w:rPr>
        <w:color w:val="F2F2F2"/>
        <w:sz w:val="22"/>
      </w:rPr>
      <w:tcPr>
        <w:shd w:val="clear" w:color="auto" w:fill="F79646"/>
      </w:tcPr>
    </w:tblStylePr>
  </w:style>
  <w:style w:type="table" w:styleId="679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680" w:customStyle="1">
    <w:name w:val="2"/>
    <w:basedOn w:val="679"/>
    <w:tblPr>
      <w:tblStyleRowBandSize w:val="1"/>
      <w:tblStyleColBandSize w:val="1"/>
      <w:tblCellMar>
        <w:right w:w="70" w:type="dxa"/>
      </w:tblCellMar>
    </w:tblPr>
  </w:style>
  <w:style w:type="table" w:styleId="681" w:customStyle="1">
    <w:name w:val="1"/>
    <w:basedOn w:val="679"/>
    <w:tblPr>
      <w:tblStyleRowBandSize w:val="1"/>
      <w:tblStyleColBandSize w:val="1"/>
      <w:tblCellMar>
        <w:left w:w="88" w:type="dxa"/>
        <w:right w:w="108" w:type="dxa"/>
      </w:tblCellMar>
    </w:tblPr>
  </w:style>
  <w:style w:type="paragraph" w:styleId="682" w:customStyle="1">
    <w:name w:val="Default"/>
    <w:rPr>
      <w:rFonts w:ascii="Calibri" w:hAnsi="Calibri" w:cs="Calibri"/>
      <w:color w:val="000000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footer" Target="footer1.xml" /><Relationship Id="rId9" Type="http://schemas.openxmlformats.org/officeDocument/2006/relationships/image" Target="media/image1.jpg"/><Relationship Id="rId10" Type="http://schemas.openxmlformats.org/officeDocument/2006/relationships/image" Target="media/image2.png"/><Relationship Id="rId11" Type="http://schemas.openxmlformats.org/officeDocument/2006/relationships/oleObject" Target="embeddings/oleObject1.bin"/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ONLYOFFICE/5.5.3.39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CTX</dc:creator>
  <dc:description/>
  <dc:language>fr-FR</dc:language>
  <cp:lastModifiedBy>Didier Ramstein</cp:lastModifiedBy>
  <cp:revision>7</cp:revision>
  <dcterms:created xsi:type="dcterms:W3CDTF">2021-12-02T07:53:00Z</dcterms:created>
  <dcterms:modified xsi:type="dcterms:W3CDTF">2021-12-08T10:35:49Z</dcterms:modified>
</cp:coreProperties>
</file>