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79" w:rsidRDefault="0044148D" w:rsidP="00880FB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9.5pt;margin-top:.75pt;width:404.75pt;height:62.75pt;z-index:251680768">
            <v:textbox>
              <w:txbxContent>
                <w:p w:rsidR="00361CA9" w:rsidRDefault="00361CA9" w:rsidP="003E5E79">
                  <w:pPr>
                    <w:jc w:val="center"/>
                  </w:pPr>
                  <w:r>
                    <w:t>Activité de TP  de simulation :</w:t>
                  </w:r>
                </w:p>
                <w:p w:rsidR="00361CA9" w:rsidRDefault="00361CA9" w:rsidP="003E5E79">
                  <w:pPr>
                    <w:jc w:val="center"/>
                  </w:pPr>
                  <w:r>
                    <w:t>Protection contre le  manque d’eau, modélisation de la régulation du niveau d’eau dans le corps de chauffe de la chaudière.</w:t>
                  </w:r>
                </w:p>
                <w:p w:rsidR="00361CA9" w:rsidRDefault="00361CA9"/>
              </w:txbxContent>
            </v:textbox>
          </v:shape>
        </w:pict>
      </w:r>
    </w:p>
    <w:p w:rsidR="008A2235" w:rsidRDefault="008A2235" w:rsidP="00880FBA"/>
    <w:p w:rsidR="006A545F" w:rsidRDefault="006A545F" w:rsidP="006A545F">
      <w:pPr>
        <w:pStyle w:val="Paragraphedeliste"/>
      </w:pPr>
    </w:p>
    <w:p w:rsidR="006A545F" w:rsidRDefault="006A545F" w:rsidP="006A545F">
      <w:pPr>
        <w:pStyle w:val="Paragraphedeliste"/>
      </w:pPr>
    </w:p>
    <w:p w:rsidR="00283132" w:rsidRDefault="00283132" w:rsidP="00880FBA">
      <w:pPr>
        <w:pStyle w:val="Paragraphedeliste"/>
        <w:numPr>
          <w:ilvl w:val="0"/>
          <w:numId w:val="2"/>
        </w:numPr>
      </w:pPr>
      <w:r>
        <w:t xml:space="preserve">Expliquer </w:t>
      </w:r>
      <w:r w:rsidR="00CE3017">
        <w:t xml:space="preserve">succinctement </w:t>
      </w:r>
      <w:r>
        <w:t>le principe d’une chaudière à tubes de fumées en faisant une recherch</w:t>
      </w:r>
      <w:r w:rsidR="00CE3017">
        <w:t>e.</w:t>
      </w:r>
    </w:p>
    <w:p w:rsidR="00CE3017" w:rsidRDefault="00CE3017" w:rsidP="00880FBA">
      <w:pPr>
        <w:pStyle w:val="Paragraphedeliste"/>
      </w:pPr>
    </w:p>
    <w:p w:rsidR="006071FF" w:rsidRDefault="006071FF" w:rsidP="00880FBA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24525" cy="32956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FF" w:rsidRDefault="006071FF" w:rsidP="00880FBA">
      <w:pPr>
        <w:pStyle w:val="Paragraphedeliste"/>
      </w:pPr>
    </w:p>
    <w:p w:rsidR="006071FF" w:rsidRPr="006071FF" w:rsidRDefault="006071FF" w:rsidP="00880FBA">
      <w:pPr>
        <w:pStyle w:val="Paragraphedeliste"/>
        <w:rPr>
          <w:color w:val="FF0000"/>
        </w:rPr>
      </w:pPr>
      <w:r w:rsidRPr="006071FF">
        <w:rPr>
          <w:color w:val="FF0000"/>
        </w:rPr>
        <w:t>Le combustible  et l’air sont acheminés dans le foyer. La combustion engendre des fumées qui sont dirigé</w:t>
      </w:r>
      <w:r w:rsidR="004E03AF">
        <w:rPr>
          <w:color w:val="FF0000"/>
        </w:rPr>
        <w:t>e</w:t>
      </w:r>
      <w:r w:rsidRPr="006071FF">
        <w:rPr>
          <w:color w:val="FF0000"/>
        </w:rPr>
        <w:t>s vers des tubes en plusieur</w:t>
      </w:r>
      <w:r w:rsidR="000F3666">
        <w:rPr>
          <w:color w:val="FF0000"/>
        </w:rPr>
        <w:t>s</w:t>
      </w:r>
      <w:r w:rsidRPr="006071FF">
        <w:rPr>
          <w:color w:val="FF0000"/>
        </w:rPr>
        <w:t xml:space="preserve"> passages dan</w:t>
      </w:r>
      <w:r w:rsidR="000F3666">
        <w:rPr>
          <w:color w:val="FF0000"/>
        </w:rPr>
        <w:t>s</w:t>
      </w:r>
      <w:r w:rsidRPr="006071FF">
        <w:rPr>
          <w:color w:val="FF0000"/>
        </w:rPr>
        <w:t xml:space="preserve"> un corps de chauffe rempli</w:t>
      </w:r>
      <w:r w:rsidR="000F3666">
        <w:rPr>
          <w:color w:val="FF0000"/>
        </w:rPr>
        <w:t xml:space="preserve"> </w:t>
      </w:r>
      <w:r w:rsidRPr="006071FF">
        <w:rPr>
          <w:color w:val="FF0000"/>
        </w:rPr>
        <w:t xml:space="preserve">d’eau. Le </w:t>
      </w:r>
      <w:r w:rsidR="009E12E4">
        <w:rPr>
          <w:color w:val="FF0000"/>
        </w:rPr>
        <w:t>transfert de chaleur se fait par</w:t>
      </w:r>
      <w:r w:rsidRPr="006071FF">
        <w:rPr>
          <w:color w:val="FF0000"/>
        </w:rPr>
        <w:t xml:space="preserve"> rayonnement et par convection vers l’eau qui se vaporise.</w:t>
      </w:r>
    </w:p>
    <w:p w:rsidR="006071FF" w:rsidRDefault="006071FF" w:rsidP="00880FBA">
      <w:pPr>
        <w:pStyle w:val="Paragraphedeliste"/>
      </w:pPr>
    </w:p>
    <w:p w:rsidR="00283132" w:rsidRDefault="00CE3017" w:rsidP="00880FBA">
      <w:pPr>
        <w:pStyle w:val="Paragraphedeliste"/>
        <w:numPr>
          <w:ilvl w:val="0"/>
          <w:numId w:val="2"/>
        </w:numPr>
      </w:pPr>
      <w:r>
        <w:t xml:space="preserve">En vous appuyant sur le « document ressources sécurités de la chaudière », Préciser les grandeurs qui font l’objet d’une surveillance particulière ? </w:t>
      </w:r>
      <w:r w:rsidR="00283132">
        <w:t xml:space="preserve"> </w:t>
      </w:r>
    </w:p>
    <w:p w:rsidR="006071FF" w:rsidRPr="006071FF" w:rsidRDefault="006071FF" w:rsidP="006071FF">
      <w:pPr>
        <w:ind w:left="360"/>
        <w:rPr>
          <w:color w:val="FF0000"/>
        </w:rPr>
      </w:pPr>
      <w:r w:rsidRPr="006071FF">
        <w:rPr>
          <w:color w:val="FF0000"/>
        </w:rPr>
        <w:t>Les 3 sécurités principales po</w:t>
      </w:r>
      <w:r w:rsidR="009E12E4">
        <w:rPr>
          <w:color w:val="FF0000"/>
        </w:rPr>
        <w:t xml:space="preserve">rtent sur la surveillance de </w:t>
      </w:r>
      <w:r w:rsidRPr="006071FF">
        <w:rPr>
          <w:color w:val="FF0000"/>
        </w:rPr>
        <w:t>pression, de</w:t>
      </w:r>
      <w:r w:rsidR="009E12E4">
        <w:rPr>
          <w:color w:val="FF0000"/>
        </w:rPr>
        <w:t> température et de niveau d’eau dans la chaudière.</w:t>
      </w:r>
    </w:p>
    <w:p w:rsidR="00FE3146" w:rsidRDefault="00FE3146" w:rsidP="00880FBA">
      <w:pPr>
        <w:pStyle w:val="Paragraphedeliste"/>
        <w:numPr>
          <w:ilvl w:val="0"/>
          <w:numId w:val="2"/>
        </w:numPr>
      </w:pPr>
      <w:r>
        <w:t>En consultant le document technique  DT 1 caractéristiques générales de la chaudière, en vous appuyant sur les masses données</w:t>
      </w:r>
      <w:r w:rsidR="00A25DEA">
        <w:t>,</w:t>
      </w:r>
      <w:r>
        <w:t xml:space="preserve"> vérifier le volume d’eau spécifié.</w:t>
      </w:r>
      <w:r w:rsidR="003E5E79">
        <w:t xml:space="preserve"> En déduire </w:t>
      </w:r>
      <w:r w:rsidR="000541D9">
        <w:t xml:space="preserve">D. </w:t>
      </w:r>
      <w:r w:rsidR="00262331">
        <w:t>On donne la masse volumique de la vapeur dans le</w:t>
      </w:r>
      <w:r w:rsidR="000541D9">
        <w:t xml:space="preserve">s conditions nominales </w:t>
      </w:r>
      <w:proofErr w:type="gramStart"/>
      <w:r w:rsidR="00262331">
        <w:t xml:space="preserve">environ </w:t>
      </w:r>
      <w:proofErr w:type="gramEnd"/>
      <w:r w:rsidR="00262331" w:rsidRPr="00D95873">
        <w:rPr>
          <w:position w:val="-10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10" o:title=""/>
          </v:shape>
          <o:OLEObject Type="Embed" ProgID="Equation.DSMT4" ShapeID="_x0000_i1025" DrawAspect="Content" ObjectID="_1686641566" r:id="rId11"/>
        </w:object>
      </w:r>
      <w:r w:rsidR="00262331">
        <w:t>.</w:t>
      </w:r>
    </w:p>
    <w:p w:rsidR="000F3666" w:rsidRDefault="000F3666" w:rsidP="000F3666">
      <w:pPr>
        <w:pStyle w:val="Paragraphedeliste"/>
      </w:pPr>
    </w:p>
    <w:p w:rsidR="000F3666" w:rsidRPr="004E03AF" w:rsidRDefault="000F3666" w:rsidP="000F3666">
      <w:pPr>
        <w:pStyle w:val="Paragraphedeliste"/>
        <w:rPr>
          <w:color w:val="FF0000"/>
        </w:rPr>
      </w:pPr>
      <w:r w:rsidRPr="00BD5843">
        <w:rPr>
          <w:color w:val="FF0000"/>
        </w:rPr>
        <w:t xml:space="preserve">La masse </w:t>
      </w:r>
      <w:r w:rsidR="00305734">
        <w:rPr>
          <w:color w:val="FF0000"/>
        </w:rPr>
        <w:t>en charge est</w:t>
      </w:r>
      <w:r w:rsidR="00262331" w:rsidRPr="00BD5843">
        <w:rPr>
          <w:color w:val="FF0000"/>
        </w:rPr>
        <w:t xml:space="preserve"> </w:t>
      </w:r>
      <w:r w:rsidR="00BD5843" w:rsidRPr="00BD5843">
        <w:rPr>
          <w:color w:val="FF0000"/>
        </w:rPr>
        <w:t>M</w:t>
      </w:r>
      <w:r w:rsidR="00BD5843" w:rsidRPr="004E03AF">
        <w:rPr>
          <w:color w:val="FF0000"/>
          <w:vertAlign w:val="subscript"/>
        </w:rPr>
        <w:t>tc</w:t>
      </w:r>
      <w:r w:rsidR="00BD5843" w:rsidRPr="00BD5843">
        <w:rPr>
          <w:color w:val="FF0000"/>
        </w:rPr>
        <w:t xml:space="preserve"> = </w:t>
      </w:r>
      <w:r w:rsidR="00262331" w:rsidRPr="00BD5843">
        <w:rPr>
          <w:color w:val="FF0000"/>
        </w:rPr>
        <w:t>34 217 kg, elle comprend la masse d’eau en charge</w:t>
      </w:r>
      <w:r w:rsidR="00BD5843" w:rsidRPr="00BD5843">
        <w:rPr>
          <w:color w:val="FF0000"/>
        </w:rPr>
        <w:t xml:space="preserve"> M</w:t>
      </w:r>
      <w:r w:rsidR="00BD5843" w:rsidRPr="004E03AF">
        <w:rPr>
          <w:color w:val="FF0000"/>
          <w:vertAlign w:val="subscript"/>
        </w:rPr>
        <w:t>ec</w:t>
      </w:r>
      <w:r w:rsidR="00262331" w:rsidRPr="00BD5843">
        <w:rPr>
          <w:color w:val="FF0000"/>
        </w:rPr>
        <w:t>, la masse de la vapeur en charge</w:t>
      </w:r>
      <w:r w:rsidR="00BD5843" w:rsidRPr="00BD5843">
        <w:rPr>
          <w:color w:val="FF0000"/>
        </w:rPr>
        <w:t xml:space="preserve"> M</w:t>
      </w:r>
      <w:r w:rsidR="00BD5843" w:rsidRPr="004E03AF">
        <w:rPr>
          <w:color w:val="FF0000"/>
          <w:vertAlign w:val="subscript"/>
        </w:rPr>
        <w:t>vc</w:t>
      </w:r>
      <w:r w:rsidR="00BD5843" w:rsidRPr="00BD5843">
        <w:rPr>
          <w:color w:val="FF0000"/>
        </w:rPr>
        <w:t xml:space="preserve"> et la masse totale à vide M</w:t>
      </w:r>
      <w:r w:rsidR="00BD5843" w:rsidRPr="004E03AF">
        <w:rPr>
          <w:color w:val="FF0000"/>
          <w:vertAlign w:val="subscript"/>
        </w:rPr>
        <w:t>t0</w:t>
      </w:r>
      <w:r w:rsidR="004E03AF">
        <w:rPr>
          <w:color w:val="FF0000"/>
        </w:rPr>
        <w:t>.</w:t>
      </w:r>
    </w:p>
    <w:p w:rsidR="00BD5843" w:rsidRPr="00BD5843" w:rsidRDefault="00BD5843" w:rsidP="000F3666">
      <w:pPr>
        <w:pStyle w:val="Paragraphedeliste"/>
        <w:rPr>
          <w:color w:val="FF0000"/>
        </w:rPr>
      </w:pPr>
    </w:p>
    <w:p w:rsidR="00262331" w:rsidRPr="005E1367" w:rsidRDefault="00262331" w:rsidP="005E1367">
      <w:pPr>
        <w:rPr>
          <w:color w:val="FF0000"/>
        </w:rPr>
      </w:pPr>
      <w:r w:rsidRPr="005E1367">
        <w:rPr>
          <w:color w:val="FF0000"/>
        </w:rPr>
        <w:lastRenderedPageBreak/>
        <w:t>Donc la masse d’eau en charge</w:t>
      </w:r>
      <w:r w:rsidR="00BD5843" w:rsidRPr="005E1367">
        <w:rPr>
          <w:color w:val="FF0000"/>
        </w:rPr>
        <w:t xml:space="preserve"> correspond</w:t>
      </w:r>
      <w:r w:rsidR="000541D9">
        <w:rPr>
          <w:color w:val="FF0000"/>
        </w:rPr>
        <w:t>,</w:t>
      </w:r>
      <w:r w:rsidR="00BD5843" w:rsidRPr="005E1367">
        <w:rPr>
          <w:color w:val="FF0000"/>
        </w:rPr>
        <w:t xml:space="preserve"> </w:t>
      </w:r>
      <w:r w:rsidR="005E1367" w:rsidRPr="005E1367">
        <w:rPr>
          <w:color w:val="FF0000"/>
        </w:rPr>
        <w:t>s</w:t>
      </w:r>
      <w:r w:rsidR="00BD5843" w:rsidRPr="005E1367">
        <w:rPr>
          <w:color w:val="FF0000"/>
        </w:rPr>
        <w:t>i on considère la masse volumique de l’eau</w:t>
      </w:r>
      <w:r w:rsidR="000541D9">
        <w:rPr>
          <w:color w:val="FF0000"/>
        </w:rPr>
        <w:t>,</w:t>
      </w:r>
      <w:r w:rsidR="00BD5843" w:rsidRPr="005E1367">
        <w:rPr>
          <w:color w:val="FF0000"/>
        </w:rPr>
        <w:t xml:space="preserve"> </w:t>
      </w:r>
      <w:r w:rsidR="000541D9">
        <w:rPr>
          <w:color w:val="FF0000"/>
        </w:rPr>
        <w:t>à</w:t>
      </w:r>
      <w:r w:rsidR="00BD5843" w:rsidRPr="005E1367">
        <w:rPr>
          <w:color w:val="FF0000"/>
        </w:rPr>
        <w:t xml:space="preserve"> peu près </w:t>
      </w:r>
      <w:proofErr w:type="gramStart"/>
      <w:r w:rsidR="00BD5843" w:rsidRPr="005E1367">
        <w:rPr>
          <w:color w:val="FF0000"/>
        </w:rPr>
        <w:t xml:space="preserve">à </w:t>
      </w:r>
      <w:proofErr w:type="gramEnd"/>
      <w:r w:rsidR="00BD5843" w:rsidRPr="00BD5843">
        <w:rPr>
          <w:position w:val="-10"/>
        </w:rPr>
        <w:object w:dxaOrig="1260" w:dyaOrig="360">
          <v:shape id="_x0000_i1026" type="#_x0000_t75" style="width:62.25pt;height:18pt" o:ole="">
            <v:imagedata r:id="rId12" o:title=""/>
          </v:shape>
          <o:OLEObject Type="Embed" ProgID="Equation.DSMT4" ShapeID="_x0000_i1026" DrawAspect="Content" ObjectID="_1686641567" r:id="rId13"/>
        </w:object>
      </w:r>
      <w:r w:rsidR="004E03AF">
        <w:rPr>
          <w:color w:val="FF0000"/>
        </w:rPr>
        <w:t>.</w:t>
      </w:r>
      <w:r w:rsidR="00BD5843" w:rsidRPr="005E1367">
        <w:rPr>
          <w:color w:val="FF0000"/>
        </w:rPr>
        <w:t xml:space="preserve"> </w:t>
      </w:r>
      <w:r w:rsidR="004E03AF">
        <w:rPr>
          <w:color w:val="FF0000"/>
        </w:rPr>
        <w:t>O</w:t>
      </w:r>
      <w:r w:rsidR="00BD5843" w:rsidRPr="005E1367">
        <w:rPr>
          <w:color w:val="FF0000"/>
        </w:rPr>
        <w:t>n confirme le volume d’eau de 11,82 m</w:t>
      </w:r>
      <w:r w:rsidR="00BD5843" w:rsidRPr="005E1367">
        <w:rPr>
          <w:color w:val="FF0000"/>
          <w:vertAlign w:val="superscript"/>
        </w:rPr>
        <w:t>3</w:t>
      </w:r>
      <w:r w:rsidR="00BD5843" w:rsidRPr="005E1367">
        <w:rPr>
          <w:color w:val="FF0000"/>
        </w:rPr>
        <w:t xml:space="preserve"> porté dans la documentation technique.</w:t>
      </w:r>
    </w:p>
    <w:p w:rsidR="00BD5843" w:rsidRPr="001F74F0" w:rsidRDefault="005E1367" w:rsidP="00A5375E">
      <w:pPr>
        <w:pStyle w:val="Paragraphedeliste"/>
        <w:rPr>
          <w:color w:val="FF0000"/>
        </w:rPr>
      </w:pPr>
      <w:r w:rsidRPr="001F74F0">
        <w:rPr>
          <w:color w:val="FF0000"/>
        </w:rPr>
        <w:t>La masse d’eau pleine correspond à 37929 -224</w:t>
      </w:r>
      <w:r w:rsidR="001F74F0" w:rsidRPr="001F74F0">
        <w:rPr>
          <w:color w:val="FF0000"/>
        </w:rPr>
        <w:t>00 = 15 529 kg soit un volume V</w:t>
      </w:r>
      <w:r w:rsidR="001F74F0" w:rsidRPr="004E03AF">
        <w:rPr>
          <w:color w:val="FF0000"/>
          <w:vertAlign w:val="subscript"/>
        </w:rPr>
        <w:t>e</w:t>
      </w:r>
      <w:r w:rsidR="004E03AF">
        <w:rPr>
          <w:color w:val="FF0000"/>
        </w:rPr>
        <w:t> </w:t>
      </w:r>
      <w:r w:rsidR="001F74F0" w:rsidRPr="001F74F0">
        <w:rPr>
          <w:color w:val="FF0000"/>
        </w:rPr>
        <w:t>=</w:t>
      </w:r>
      <w:r w:rsidR="004E03AF">
        <w:rPr>
          <w:color w:val="FF0000"/>
        </w:rPr>
        <w:t> </w:t>
      </w:r>
      <w:r w:rsidRPr="001F74F0">
        <w:rPr>
          <w:color w:val="FF0000"/>
        </w:rPr>
        <w:t>15,529</w:t>
      </w:r>
      <w:r w:rsidR="004E03AF">
        <w:rPr>
          <w:color w:val="FF0000"/>
        </w:rPr>
        <w:t> </w:t>
      </w:r>
      <w:r w:rsidRPr="001F74F0">
        <w:rPr>
          <w:color w:val="FF0000"/>
        </w:rPr>
        <w:t>m</w:t>
      </w:r>
      <w:r w:rsidRPr="001F74F0">
        <w:rPr>
          <w:color w:val="FF0000"/>
          <w:vertAlign w:val="superscript"/>
        </w:rPr>
        <w:t>3</w:t>
      </w:r>
      <w:r w:rsidRPr="001F74F0">
        <w:rPr>
          <w:color w:val="FF0000"/>
        </w:rPr>
        <w:t>.</w:t>
      </w:r>
    </w:p>
    <w:p w:rsidR="001F74F0" w:rsidRDefault="001F74F0" w:rsidP="00A5375E">
      <w:pPr>
        <w:pStyle w:val="Paragraphedeliste"/>
      </w:pPr>
    </w:p>
    <w:p w:rsidR="008A240A" w:rsidRDefault="001F74F0" w:rsidP="008A240A">
      <w:pPr>
        <w:pStyle w:val="Paragraphedeliste"/>
        <w:rPr>
          <w:color w:val="FF0000"/>
        </w:rPr>
      </w:pPr>
      <w:r w:rsidRPr="001F74F0">
        <w:rPr>
          <w:position w:val="-24"/>
        </w:rPr>
        <w:object w:dxaOrig="1300" w:dyaOrig="660">
          <v:shape id="_x0000_i1027" type="#_x0000_t75" style="width:65.25pt;height:33pt" o:ole="">
            <v:imagedata r:id="rId14" o:title=""/>
          </v:shape>
          <o:OLEObject Type="Embed" ProgID="Equation.DSMT4" ShapeID="_x0000_i1027" DrawAspect="Content" ObjectID="_1686641568" r:id="rId15"/>
        </w:object>
      </w:r>
      <w:r>
        <w:t xml:space="preserve"> </w:t>
      </w:r>
      <w:proofErr w:type="gramStart"/>
      <w:r>
        <w:t>soit</w:t>
      </w:r>
      <w:proofErr w:type="gramEnd"/>
      <w:r>
        <w:t xml:space="preserve">  </w:t>
      </w:r>
      <w:r w:rsidRPr="001F74F0">
        <w:rPr>
          <w:position w:val="-26"/>
        </w:rPr>
        <w:object w:dxaOrig="1120" w:dyaOrig="700">
          <v:shape id="_x0000_i1028" type="#_x0000_t75" style="width:55.5pt;height:34.5pt" o:ole="">
            <v:imagedata r:id="rId16" o:title=""/>
          </v:shape>
          <o:OLEObject Type="Embed" ProgID="Equation.DSMT4" ShapeID="_x0000_i1028" DrawAspect="Content" ObjectID="_1686641569" r:id="rId17"/>
        </w:object>
      </w:r>
      <w:r>
        <w:t xml:space="preserve"> </w:t>
      </w:r>
      <w:r w:rsidR="009E12E4">
        <w:rPr>
          <w:color w:val="FF0000"/>
        </w:rPr>
        <w:t>on trouve alors D = 3 m</w:t>
      </w:r>
      <w:r w:rsidRPr="001F74F0">
        <w:rPr>
          <w:color w:val="FF0000"/>
        </w:rPr>
        <w:t>.</w:t>
      </w:r>
    </w:p>
    <w:p w:rsidR="00CE3017" w:rsidRDefault="00CE3017" w:rsidP="008A240A">
      <w:pPr>
        <w:pStyle w:val="Paragraphedeliste"/>
      </w:pPr>
    </w:p>
    <w:p w:rsidR="00906668" w:rsidRDefault="00906668" w:rsidP="00880FBA">
      <w:pPr>
        <w:pStyle w:val="Paragraphedeliste"/>
        <w:numPr>
          <w:ilvl w:val="0"/>
          <w:numId w:val="2"/>
        </w:numPr>
      </w:pPr>
      <w:r>
        <w:t>En consultant le doc</w:t>
      </w:r>
      <w:r w:rsidR="004F7DAC">
        <w:t>ument technique sur l’étagement des niveaux d’eau</w:t>
      </w:r>
      <w:r w:rsidR="000541D9">
        <w:t xml:space="preserve"> et</w:t>
      </w:r>
      <w:r w:rsidR="004F7DAC">
        <w:t xml:space="preserve"> en </w:t>
      </w:r>
      <w:r w:rsidR="001F74F0">
        <w:t>considérant</w:t>
      </w:r>
      <w:r w:rsidR="004F7DAC">
        <w:t xml:space="preserve"> l’élément le plus chauffé comme niveau de référence</w:t>
      </w:r>
      <w:r w:rsidR="000541D9">
        <w:t>,</w:t>
      </w:r>
      <w:r w:rsidR="004F7DAC">
        <w:t xml:space="preserve"> </w:t>
      </w:r>
      <w:r w:rsidR="00BD5843">
        <w:t>donner</w:t>
      </w:r>
      <w:r w:rsidR="004F7DAC">
        <w:t xml:space="preserve"> le niveau de consigne d’eau dans le corps de chauffe de la chaudière.</w:t>
      </w:r>
    </w:p>
    <w:p w:rsidR="008A240A" w:rsidRDefault="008A240A" w:rsidP="008A240A">
      <w:pPr>
        <w:pStyle w:val="Paragraphedeliste"/>
      </w:pPr>
    </w:p>
    <w:p w:rsidR="008A240A" w:rsidRDefault="008A240A" w:rsidP="00B17125">
      <w:pPr>
        <w:pStyle w:val="Paragraphedeliste"/>
        <w:rPr>
          <w:color w:val="FF0000"/>
        </w:rPr>
      </w:pPr>
      <w:r w:rsidRPr="008A240A">
        <w:rPr>
          <w:color w:val="FF0000"/>
        </w:rPr>
        <w:t xml:space="preserve">Si on considère l’élément le plus chauffé on a la consigne de niveau qui doit être à 100 + 70 soit 1,7 mètres. En réalité en tenant compte de la distance entre le bas du corps de chauffe et </w:t>
      </w:r>
      <w:r w:rsidR="004E03AF">
        <w:rPr>
          <w:color w:val="FF0000"/>
        </w:rPr>
        <w:t>du premier élément chauffé on a u</w:t>
      </w:r>
      <w:r w:rsidRPr="008A240A">
        <w:rPr>
          <w:color w:val="FF0000"/>
        </w:rPr>
        <w:t>ne distance non prise en compte.</w:t>
      </w:r>
    </w:p>
    <w:p w:rsidR="00B17125" w:rsidRDefault="00B17125" w:rsidP="00B17125">
      <w:pPr>
        <w:pStyle w:val="Paragraphedeliste"/>
        <w:rPr>
          <w:color w:val="FF0000"/>
        </w:rPr>
      </w:pPr>
    </w:p>
    <w:p w:rsidR="00B17125" w:rsidRPr="00305734" w:rsidRDefault="00B17125" w:rsidP="00880FBA">
      <w:pPr>
        <w:pStyle w:val="Paragraphedeliste"/>
        <w:numPr>
          <w:ilvl w:val="0"/>
          <w:numId w:val="2"/>
        </w:numPr>
        <w:rPr>
          <w:color w:val="FF0000"/>
        </w:rPr>
      </w:pPr>
      <w:r w:rsidRPr="00305734">
        <w:rPr>
          <w:color w:val="FF0000"/>
        </w:rPr>
        <w:t>Bilan matière :</w:t>
      </w:r>
      <w:r w:rsidR="001F0F8B" w:rsidRPr="00305734">
        <w:rPr>
          <w:color w:val="FF0000"/>
        </w:rPr>
        <w:t xml:space="preserve"> masse d’eau en entrée moins la masse d’eau de sortie</w:t>
      </w:r>
      <w:r w:rsidRPr="00305734">
        <w:rPr>
          <w:color w:val="FF0000"/>
        </w:rPr>
        <w:t xml:space="preserve"> </w:t>
      </w:r>
      <w:r w:rsidR="001F0F8B" w:rsidRPr="00305734">
        <w:rPr>
          <w:color w:val="FF0000"/>
        </w:rPr>
        <w:t xml:space="preserve"> provoque une variation de masse dans la cuve donc une variation de hauteur. Dans l’hypothèse de 2 strates et des effets de tassements et de gonflement négligés on obtient</w:t>
      </w:r>
      <w:r w:rsidR="001F0F8B" w:rsidRPr="00305734">
        <w:rPr>
          <w:color w:val="FF0000"/>
          <w:position w:val="-24"/>
        </w:rPr>
        <w:object w:dxaOrig="2860" w:dyaOrig="620">
          <v:shape id="_x0000_i1029" type="#_x0000_t75" style="width:143.25pt;height:30.75pt" o:ole="">
            <v:imagedata r:id="rId18" o:title=""/>
          </v:shape>
          <o:OLEObject Type="Embed" ProgID="Equation.DSMT4" ShapeID="_x0000_i1029" DrawAspect="Content" ObjectID="_1686641570" r:id="rId19"/>
        </w:object>
      </w:r>
    </w:p>
    <w:p w:rsidR="00F400B3" w:rsidRPr="00305734" w:rsidRDefault="00305734" w:rsidP="00880FBA">
      <w:pPr>
        <w:pStyle w:val="Paragraphedeliste"/>
        <w:numPr>
          <w:ilvl w:val="0"/>
          <w:numId w:val="2"/>
        </w:numPr>
        <w:rPr>
          <w:color w:val="FF0000"/>
        </w:rPr>
      </w:pPr>
      <w:r w:rsidRPr="00305734">
        <w:rPr>
          <w:color w:val="FF0000"/>
        </w:rPr>
        <w:t>Tracée de V</w:t>
      </w:r>
      <w:r w:rsidRPr="004E03AF">
        <w:rPr>
          <w:color w:val="FF0000"/>
          <w:vertAlign w:val="subscript"/>
        </w:rPr>
        <w:t>e</w:t>
      </w:r>
      <w:r w:rsidRPr="00305734">
        <w:rPr>
          <w:color w:val="FF0000"/>
        </w:rPr>
        <w:t xml:space="preserve"> en fonction de h :</w:t>
      </w:r>
      <w:r w:rsidR="00F400B3" w:rsidRPr="00305734">
        <w:rPr>
          <w:color w:val="FF0000"/>
        </w:rPr>
        <w:t xml:space="preserve"> </w:t>
      </w:r>
    </w:p>
    <w:p w:rsidR="001F0F8B" w:rsidRDefault="001F0F8B" w:rsidP="001F0F8B">
      <w:pPr>
        <w:pStyle w:val="Paragraphedeliste"/>
      </w:pPr>
    </w:p>
    <w:p w:rsidR="001F0F8B" w:rsidRDefault="001F0F8B" w:rsidP="001F0F8B">
      <w:pPr>
        <w:pStyle w:val="Paragraphedeliste"/>
      </w:pPr>
      <w:r w:rsidRPr="001F0F8B">
        <w:rPr>
          <w:noProof/>
          <w:lang w:eastAsia="fr-FR"/>
        </w:rPr>
        <w:drawing>
          <wp:inline distT="0" distB="0" distL="0" distR="0">
            <wp:extent cx="4572000" cy="2744304"/>
            <wp:effectExtent l="19050" t="0" r="19050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F0F8B" w:rsidRDefault="001F0F8B" w:rsidP="001F0F8B">
      <w:pPr>
        <w:pStyle w:val="Paragraphedeliste"/>
      </w:pPr>
    </w:p>
    <w:p w:rsidR="001F0F8B" w:rsidRPr="00305734" w:rsidRDefault="001F0F8B" w:rsidP="001F0F8B">
      <w:pPr>
        <w:pStyle w:val="Paragraphedeliste"/>
        <w:rPr>
          <w:color w:val="FF0000"/>
        </w:rPr>
      </w:pPr>
      <w:r w:rsidRPr="00305734">
        <w:rPr>
          <w:color w:val="FF0000"/>
        </w:rPr>
        <w:t>L’équation qui régit le volume suffit pour dire que la courbe est non linéaire. Cependant l’allure montre des zones où on peut considérer une liaison linéaire entre V</w:t>
      </w:r>
      <w:r w:rsidRPr="004E03AF">
        <w:rPr>
          <w:color w:val="FF0000"/>
          <w:vertAlign w:val="subscript"/>
        </w:rPr>
        <w:t>e</w:t>
      </w:r>
      <w:r w:rsidRPr="00305734">
        <w:rPr>
          <w:color w:val="FF0000"/>
        </w:rPr>
        <w:t xml:space="preserve"> et h, en particulier autour de 1,5 m.</w:t>
      </w:r>
    </w:p>
    <w:p w:rsidR="001F0F8B" w:rsidRDefault="001F0F8B" w:rsidP="001F0F8B">
      <w:pPr>
        <w:pStyle w:val="Paragraphedeliste"/>
      </w:pPr>
    </w:p>
    <w:p w:rsidR="001F0F8B" w:rsidRDefault="001F0F8B">
      <w:r>
        <w:br w:type="page"/>
      </w:r>
    </w:p>
    <w:p w:rsidR="00F400B3" w:rsidRDefault="00F400B3" w:rsidP="00880FBA">
      <w:pPr>
        <w:pStyle w:val="Paragraphedeliste"/>
        <w:numPr>
          <w:ilvl w:val="0"/>
          <w:numId w:val="2"/>
        </w:numPr>
      </w:pPr>
      <w:r>
        <w:lastRenderedPageBreak/>
        <w:t>On considère un comportement linéaire  autour de 2</w:t>
      </w:r>
      <w:r w:rsidR="00E77C4D">
        <w:t>,1</w:t>
      </w:r>
      <w:r>
        <w:t xml:space="preserve"> mètres. Pour cela </w:t>
      </w:r>
      <w:r w:rsidR="00880FBA">
        <w:t>représenter</w:t>
      </w:r>
      <w:r>
        <w:t xml:space="preserve"> la courbe de Ve en fonction </w:t>
      </w:r>
      <w:r w:rsidR="000541D9">
        <w:t xml:space="preserve">de h pour h compris entre 2 et </w:t>
      </w:r>
      <w:r>
        <w:t>2,2.</w:t>
      </w:r>
    </w:p>
    <w:p w:rsidR="001F0F8B" w:rsidRDefault="001F0F8B" w:rsidP="001F0F8B">
      <w:pPr>
        <w:pStyle w:val="Paragraphedeliste"/>
      </w:pPr>
    </w:p>
    <w:p w:rsidR="001F0F8B" w:rsidRPr="00305734" w:rsidRDefault="001F0F8B" w:rsidP="001F0F8B">
      <w:pPr>
        <w:pStyle w:val="Paragraphedeliste"/>
      </w:pPr>
      <w:r>
        <w:t xml:space="preserve">Autour de 2,1 sur de petites variations de h on peut approximer la fonction par une droite, dont la pente est </w:t>
      </w:r>
      <w:r w:rsidRPr="001F0F8B">
        <w:rPr>
          <w:position w:val="-10"/>
        </w:rPr>
        <w:object w:dxaOrig="820" w:dyaOrig="360">
          <v:shape id="_x0000_i1030" type="#_x0000_t75" style="width:41.25pt;height:18pt" o:ole="">
            <v:imagedata r:id="rId21" o:title=""/>
          </v:shape>
          <o:OLEObject Type="Embed" ProgID="Equation.DSMT4" ShapeID="_x0000_i1030" DrawAspect="Content" ObjectID="_1686641571" r:id="rId22"/>
        </w:object>
      </w:r>
      <w:r w:rsidR="00305734">
        <w:t xml:space="preserve"> et de coordonnées  à l’origine -1,07 m</w:t>
      </w:r>
      <w:r w:rsidR="00305734">
        <w:rPr>
          <w:vertAlign w:val="superscript"/>
        </w:rPr>
        <w:t>3</w:t>
      </w:r>
      <w:r w:rsidR="00305734">
        <w:t>.</w:t>
      </w:r>
    </w:p>
    <w:p w:rsidR="001F0F8B" w:rsidRDefault="001F0F8B" w:rsidP="00880FBA">
      <w:pPr>
        <w:ind w:left="360"/>
      </w:pPr>
      <w:r w:rsidRPr="001F0F8B">
        <w:rPr>
          <w:noProof/>
          <w:lang w:eastAsia="fr-FR"/>
        </w:rPr>
        <w:drawing>
          <wp:inline distT="0" distB="0" distL="0" distR="0">
            <wp:extent cx="4572000" cy="2744304"/>
            <wp:effectExtent l="19050" t="0" r="1905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F6573" w:rsidRDefault="005F6573" w:rsidP="005F6573">
      <w:pPr>
        <w:pStyle w:val="Paragraphedeliste"/>
      </w:pPr>
    </w:p>
    <w:p w:rsidR="00AB27CB" w:rsidRDefault="003C1E14" w:rsidP="003C1E14">
      <w:pPr>
        <w:pStyle w:val="Paragraphedeliste"/>
      </w:pPr>
      <w:r>
        <w:t>A partir de l’équation bilan massique on obtient :</w:t>
      </w:r>
    </w:p>
    <w:p w:rsidR="00681B5F" w:rsidRDefault="00681B5F" w:rsidP="00681B5F">
      <w:pPr>
        <w:pStyle w:val="Paragraphedeliste"/>
      </w:pPr>
    </w:p>
    <w:p w:rsidR="007B3744" w:rsidRPr="007B3744" w:rsidRDefault="0044148D" w:rsidP="00681B5F">
      <w:pPr>
        <w:pStyle w:val="Paragraphedeliste"/>
      </w:pPr>
      <w:r>
        <w:rPr>
          <w:noProof/>
          <w:lang w:eastAsia="fr-FR"/>
        </w:rPr>
        <w:pict>
          <v:rect id="_x0000_s1069" style="position:absolute;left:0;text-align:left;margin-left:58.05pt;margin-top:8.2pt;width:76.5pt;height:20.25pt;z-index:251683840" filled="f" strokecolor="#0070c0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01.7pt;margin-top:27.05pt;width:46.5pt;height:33.6pt;flip:x y;z-index:251682816" o:connectortype="straight" strokecolor="#0070c0">
            <v:stroke endarrow="block"/>
          </v:shape>
        </w:pict>
      </w:r>
      <w:r w:rsidR="007B3744" w:rsidRPr="007B3744">
        <w:rPr>
          <w:position w:val="-30"/>
        </w:rPr>
        <w:object w:dxaOrig="2840" w:dyaOrig="680">
          <v:shape id="_x0000_i1031" type="#_x0000_t75" style="width:142.5pt;height:34.5pt" o:ole="">
            <v:imagedata r:id="rId24" o:title=""/>
          </v:shape>
          <o:OLEObject Type="Embed" ProgID="Equation.DSMT4" ShapeID="_x0000_i1031" DrawAspect="Content" ObjectID="_1686641572" r:id="rId25"/>
        </w:object>
      </w:r>
      <w:r w:rsidR="007B3744">
        <w:t xml:space="preserve"> </w:t>
      </w:r>
      <w:r w:rsidR="003C1E14">
        <w:t>,</w:t>
      </w:r>
      <w:r w:rsidR="004E03AF">
        <w:t xml:space="preserve"> </w:t>
      </w:r>
      <w:r w:rsidR="007B3744">
        <w:t>le terme 1/a</w:t>
      </w:r>
      <w:r w:rsidR="007B3744">
        <w:rPr>
          <w:vertAlign w:val="subscript"/>
        </w:rPr>
        <w:t>1</w:t>
      </w:r>
      <w:r w:rsidR="007B3744">
        <w:t xml:space="preserve"> correspond à K</w:t>
      </w:r>
      <w:r w:rsidR="003C1E14">
        <w:t>.</w:t>
      </w:r>
    </w:p>
    <w:p w:rsidR="007B3744" w:rsidRDefault="007B3744" w:rsidP="00681B5F">
      <w:pPr>
        <w:pStyle w:val="Paragraphedeliste"/>
      </w:pPr>
    </w:p>
    <w:p w:rsidR="007B3744" w:rsidRDefault="0044148D" w:rsidP="00681B5F">
      <w:pPr>
        <w:pStyle w:val="Paragraphedeliste"/>
      </w:pPr>
      <w:r>
        <w:rPr>
          <w:noProof/>
          <w:lang w:eastAsia="fr-FR"/>
        </w:rPr>
        <w:pict>
          <v:oval id="_x0000_s1067" style="position:absolute;left:0;text-align:left;margin-left:126.9pt;margin-top:17.95pt;width:49.7pt;height:89.35pt;z-index:251681792" filled="f" strokecolor="#0070c0"/>
        </w:pict>
      </w:r>
      <w:r w:rsidR="007B3744">
        <w:rPr>
          <w:noProof/>
          <w:lang w:eastAsia="fr-FR"/>
        </w:rPr>
        <w:drawing>
          <wp:inline distT="0" distB="0" distL="0" distR="0">
            <wp:extent cx="3543935" cy="1171575"/>
            <wp:effectExtent l="1905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44" w:rsidRDefault="007B3744" w:rsidP="007B3744">
      <w:pPr>
        <w:pStyle w:val="Paragraphedeliste"/>
      </w:pPr>
    </w:p>
    <w:p w:rsidR="004E03AF" w:rsidRDefault="004E03AF">
      <w:r>
        <w:br w:type="page"/>
      </w:r>
    </w:p>
    <w:p w:rsidR="008E0494" w:rsidRDefault="00361CA9" w:rsidP="00880FBA">
      <w:pPr>
        <w:pStyle w:val="Paragraphedeliste"/>
        <w:numPr>
          <w:ilvl w:val="0"/>
          <w:numId w:val="2"/>
        </w:numPr>
      </w:pPr>
      <w:r>
        <w:lastRenderedPageBreak/>
        <w:t>Simulation pour une correction proportionnelle :</w:t>
      </w:r>
    </w:p>
    <w:p w:rsidR="00361CA9" w:rsidRDefault="00361CA9" w:rsidP="00361CA9">
      <w:pPr>
        <w:pStyle w:val="Paragraphedeliste"/>
      </w:pPr>
    </w:p>
    <w:p w:rsidR="00361CA9" w:rsidRDefault="00361CA9" w:rsidP="00361CA9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31510" cy="3401575"/>
            <wp:effectExtent l="19050" t="0" r="254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D2" w:rsidRPr="00B166D8" w:rsidRDefault="007B3744" w:rsidP="009105D2">
      <w:pPr>
        <w:pStyle w:val="Paragraphedeliste"/>
        <w:rPr>
          <w:color w:val="FF0000"/>
        </w:rPr>
      </w:pPr>
      <w:r w:rsidRPr="00B166D8">
        <w:rPr>
          <w:color w:val="FF0000"/>
        </w:rPr>
        <w:t>On observe  qu’avant l’arrivée de la perturbation le niveau est bien égal à la consigne et le débit massique d’eau e</w:t>
      </w:r>
      <w:r w:rsidR="004E03AF">
        <w:rPr>
          <w:color w:val="FF0000"/>
        </w:rPr>
        <w:t xml:space="preserve">st nul.  A la demande de vapeur, </w:t>
      </w:r>
      <w:r w:rsidRPr="00B166D8">
        <w:rPr>
          <w:color w:val="FF0000"/>
        </w:rPr>
        <w:t xml:space="preserve">le niveau diminue </w:t>
      </w:r>
      <w:r w:rsidR="004E03AF">
        <w:rPr>
          <w:color w:val="FF0000"/>
        </w:rPr>
        <w:t xml:space="preserve"> et </w:t>
      </w:r>
      <w:r w:rsidRPr="00B166D8">
        <w:rPr>
          <w:color w:val="FF0000"/>
        </w:rPr>
        <w:t xml:space="preserve">il subsiste un écart en régime permanent.  Le  débit massique en régime permanent compense le débit massique de sortie. </w:t>
      </w:r>
    </w:p>
    <w:p w:rsidR="00D16439" w:rsidRDefault="00D16439" w:rsidP="00D16439">
      <w:pPr>
        <w:pStyle w:val="Paragraphedeliste"/>
      </w:pPr>
    </w:p>
    <w:p w:rsidR="009105D2" w:rsidRDefault="009105D2" w:rsidP="009105D2">
      <w:pPr>
        <w:pStyle w:val="Paragraphedeliste"/>
        <w:ind w:left="360"/>
      </w:pPr>
    </w:p>
    <w:p w:rsidR="008A2235" w:rsidRDefault="008A2235" w:rsidP="00880FBA">
      <w:pPr>
        <w:pStyle w:val="Paragraphedeliste"/>
        <w:numPr>
          <w:ilvl w:val="0"/>
          <w:numId w:val="2"/>
        </w:numPr>
      </w:pPr>
      <w:r>
        <w:t>Augmenter le gain du correcteur proportionnel et conclure sur son impact sur les performances.</w:t>
      </w:r>
    </w:p>
    <w:p w:rsidR="00AE378C" w:rsidRDefault="00AE378C" w:rsidP="00AE378C">
      <w:pPr>
        <w:pStyle w:val="Paragraphedeliste"/>
      </w:pPr>
    </w:p>
    <w:p w:rsidR="00AE378C" w:rsidRPr="00AE378C" w:rsidRDefault="00AE378C" w:rsidP="00AE378C">
      <w:pPr>
        <w:pStyle w:val="Paragraphedeliste"/>
        <w:rPr>
          <w:color w:val="FF0000"/>
        </w:rPr>
      </w:pPr>
      <w:r w:rsidRPr="00AE378C">
        <w:rPr>
          <w:color w:val="FF0000"/>
        </w:rPr>
        <w:t>En augmentant le gain proportionnel on constate une diminution de l’écart statique. Cependant le système est limité par la saturation  du débit maximal.</w:t>
      </w:r>
      <w:r>
        <w:rPr>
          <w:color w:val="FF0000"/>
        </w:rPr>
        <w:t xml:space="preserve"> </w:t>
      </w:r>
    </w:p>
    <w:p w:rsidR="009105D2" w:rsidRDefault="009105D2" w:rsidP="009105D2">
      <w:pPr>
        <w:pStyle w:val="Paragraphedeliste"/>
      </w:pPr>
    </w:p>
    <w:p w:rsidR="00CE3017" w:rsidRDefault="003C1E14" w:rsidP="00A5375E">
      <w:pPr>
        <w:pStyle w:val="Paragraphedeliste"/>
        <w:numPr>
          <w:ilvl w:val="0"/>
          <w:numId w:val="2"/>
        </w:numPr>
        <w:tabs>
          <w:tab w:val="left" w:pos="2880"/>
        </w:tabs>
        <w:rPr>
          <w:color w:val="FF0000"/>
        </w:rPr>
      </w:pPr>
      <w:r w:rsidRPr="003C1E14">
        <w:rPr>
          <w:color w:val="FF0000"/>
        </w:rPr>
        <w:t>L’ensemble des simulations conduit aux conclusions suivantes pour l’</w:t>
      </w:r>
      <w:r w:rsidR="004E03AF">
        <w:rPr>
          <w:color w:val="FF0000"/>
        </w:rPr>
        <w:t>action proportionnelle fixée. L</w:t>
      </w:r>
      <w:r w:rsidRPr="003C1E14">
        <w:rPr>
          <w:color w:val="FF0000"/>
        </w:rPr>
        <w:t>e système est pseudo-oscillant avec des  temps de réponse</w:t>
      </w:r>
      <w:r>
        <w:rPr>
          <w:color w:val="FF0000"/>
        </w:rPr>
        <w:t xml:space="preserve"> plus grand</w:t>
      </w:r>
      <w:r w:rsidR="004E03AF">
        <w:rPr>
          <w:color w:val="FF0000"/>
        </w:rPr>
        <w:t>s</w:t>
      </w:r>
      <w:r w:rsidRPr="003C1E14">
        <w:rPr>
          <w:color w:val="FF0000"/>
        </w:rPr>
        <w:t xml:space="preserve"> </w:t>
      </w:r>
      <w:r>
        <w:rPr>
          <w:color w:val="FF0000"/>
        </w:rPr>
        <w:t xml:space="preserve"> et des dépassements </w:t>
      </w:r>
      <w:r w:rsidRPr="003C1E14">
        <w:rPr>
          <w:color w:val="FF0000"/>
        </w:rPr>
        <w:t xml:space="preserve"> lorsque Ti diminue. L’action intégrale permet en régime statique de gommer l’effet de la perturbation. En effet la variation de h est nulle en statique.</w:t>
      </w:r>
    </w:p>
    <w:p w:rsidR="004E03AF" w:rsidRDefault="004E03AF">
      <w:pPr>
        <w:rPr>
          <w:color w:val="FF0000"/>
        </w:rPr>
      </w:pPr>
      <w:r>
        <w:rPr>
          <w:color w:val="FF0000"/>
        </w:rPr>
        <w:br w:type="page"/>
      </w:r>
    </w:p>
    <w:p w:rsidR="003C1E14" w:rsidRPr="003C1E14" w:rsidRDefault="003C1E14" w:rsidP="003C1E14">
      <w:pPr>
        <w:tabs>
          <w:tab w:val="left" w:pos="2880"/>
        </w:tabs>
        <w:ind w:left="360"/>
        <w:rPr>
          <w:color w:val="FF0000"/>
        </w:rPr>
      </w:pPr>
      <w:r w:rsidRPr="003C1E14">
        <w:rPr>
          <w:color w:val="FF0000"/>
        </w:rPr>
        <w:lastRenderedPageBreak/>
        <w:t>Exemple de résultats pour K</w:t>
      </w:r>
      <w:r w:rsidRPr="004E03AF">
        <w:rPr>
          <w:color w:val="FF0000"/>
          <w:vertAlign w:val="subscript"/>
        </w:rPr>
        <w:t>i</w:t>
      </w:r>
      <w:r w:rsidRPr="003C1E14">
        <w:rPr>
          <w:color w:val="FF0000"/>
        </w:rPr>
        <w:t xml:space="preserve"> = 50  et T</w:t>
      </w:r>
      <w:r w:rsidRPr="004E03AF">
        <w:rPr>
          <w:color w:val="FF0000"/>
          <w:vertAlign w:val="subscript"/>
        </w:rPr>
        <w:t>i</w:t>
      </w:r>
      <w:r w:rsidRPr="003C1E14">
        <w:rPr>
          <w:color w:val="FF0000"/>
        </w:rPr>
        <w:t xml:space="preserve"> = 50 secondes.</w:t>
      </w: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  <w:r w:rsidRPr="003C1E14">
        <w:rPr>
          <w:noProof/>
          <w:color w:val="FF0000"/>
          <w:lang w:eastAsia="fr-FR"/>
        </w:rPr>
        <w:drawing>
          <wp:inline distT="0" distB="0" distL="0" distR="0">
            <wp:extent cx="5731510" cy="3401628"/>
            <wp:effectExtent l="19050" t="0" r="254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  <w:r>
        <w:rPr>
          <w:color w:val="FF0000"/>
        </w:rPr>
        <w:t>Pour T</w:t>
      </w:r>
      <w:r w:rsidRPr="004E03AF">
        <w:rPr>
          <w:color w:val="FF0000"/>
          <w:vertAlign w:val="subscript"/>
        </w:rPr>
        <w:t xml:space="preserve">i </w:t>
      </w:r>
      <w:r>
        <w:rPr>
          <w:color w:val="FF0000"/>
        </w:rPr>
        <w:t>= 10 secondes</w:t>
      </w: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</w:p>
    <w:p w:rsidR="003C1E14" w:rsidRDefault="003C1E14" w:rsidP="003C1E14">
      <w:pPr>
        <w:pStyle w:val="Paragraphedeliste"/>
        <w:tabs>
          <w:tab w:val="left" w:pos="2880"/>
        </w:tabs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>
            <wp:extent cx="5731510" cy="3401575"/>
            <wp:effectExtent l="19050" t="0" r="254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14" w:rsidRPr="003C1E14" w:rsidRDefault="003C1E14" w:rsidP="003C1E14">
      <w:pPr>
        <w:tabs>
          <w:tab w:val="left" w:pos="2880"/>
        </w:tabs>
        <w:ind w:left="360"/>
        <w:rPr>
          <w:color w:val="FF0000"/>
        </w:rPr>
      </w:pPr>
      <w:bookmarkStart w:id="0" w:name="_GoBack"/>
      <w:bookmarkEnd w:id="0"/>
    </w:p>
    <w:sectPr w:rsidR="003C1E14" w:rsidRPr="003C1E14" w:rsidSect="00875735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8D" w:rsidRDefault="0044148D" w:rsidP="006A545F">
      <w:pPr>
        <w:spacing w:before="0" w:after="0"/>
      </w:pPr>
      <w:r>
        <w:separator/>
      </w:r>
    </w:p>
  </w:endnote>
  <w:endnote w:type="continuationSeparator" w:id="0">
    <w:p w:rsidR="0044148D" w:rsidRDefault="0044148D" w:rsidP="006A54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39985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361CA9" w:rsidRDefault="00153F2A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61CA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713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361CA9"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61CA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713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1CA9" w:rsidRDefault="00361CA9" w:rsidP="006A545F">
    <w:pPr>
      <w:pStyle w:val="Pieddepage"/>
      <w:spacing w:before="100" w:after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8D" w:rsidRDefault="0044148D" w:rsidP="006A545F">
      <w:pPr>
        <w:spacing w:before="0" w:after="0"/>
      </w:pPr>
      <w:r>
        <w:separator/>
      </w:r>
    </w:p>
  </w:footnote>
  <w:footnote w:type="continuationSeparator" w:id="0">
    <w:p w:rsidR="0044148D" w:rsidRDefault="0044148D" w:rsidP="006A54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A9" w:rsidRDefault="00361CA9">
    <w:pPr>
      <w:pStyle w:val="En-tte"/>
    </w:pPr>
    <w:r>
      <w:t>Activité 3  (régulation de niveau d’eau dans la chaudière)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BE5"/>
    <w:multiLevelType w:val="hybridMultilevel"/>
    <w:tmpl w:val="04E4FBA0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53244"/>
    <w:multiLevelType w:val="hybridMultilevel"/>
    <w:tmpl w:val="1C20728A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0AA4"/>
    <w:multiLevelType w:val="hybridMultilevel"/>
    <w:tmpl w:val="6D860974"/>
    <w:lvl w:ilvl="0" w:tplc="18B2E97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F4BEC"/>
    <w:multiLevelType w:val="hybridMultilevel"/>
    <w:tmpl w:val="B6F41E14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1796"/>
    <w:multiLevelType w:val="hybridMultilevel"/>
    <w:tmpl w:val="1F9264CE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2614"/>
    <w:multiLevelType w:val="hybridMultilevel"/>
    <w:tmpl w:val="FAC4D8A2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D2BD4"/>
    <w:multiLevelType w:val="hybridMultilevel"/>
    <w:tmpl w:val="1B98EFDA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F927B7"/>
    <w:multiLevelType w:val="hybridMultilevel"/>
    <w:tmpl w:val="8D08FC58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5390E"/>
    <w:multiLevelType w:val="hybridMultilevel"/>
    <w:tmpl w:val="0B7E5488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84A"/>
    <w:rsid w:val="000541D9"/>
    <w:rsid w:val="0008634A"/>
    <w:rsid w:val="00093325"/>
    <w:rsid w:val="000979E5"/>
    <w:rsid w:val="000A130A"/>
    <w:rsid w:val="000B0960"/>
    <w:rsid w:val="000F3666"/>
    <w:rsid w:val="000F43AC"/>
    <w:rsid w:val="00130B1C"/>
    <w:rsid w:val="00153F2A"/>
    <w:rsid w:val="00185A3A"/>
    <w:rsid w:val="001F0F8B"/>
    <w:rsid w:val="001F3132"/>
    <w:rsid w:val="001F74F0"/>
    <w:rsid w:val="00262331"/>
    <w:rsid w:val="00283132"/>
    <w:rsid w:val="002A7A20"/>
    <w:rsid w:val="002F7350"/>
    <w:rsid w:val="00305734"/>
    <w:rsid w:val="00361CA9"/>
    <w:rsid w:val="003819D7"/>
    <w:rsid w:val="00382E60"/>
    <w:rsid w:val="003C1E14"/>
    <w:rsid w:val="003E5E79"/>
    <w:rsid w:val="004354B3"/>
    <w:rsid w:val="0044148D"/>
    <w:rsid w:val="004E03AF"/>
    <w:rsid w:val="004F7DAC"/>
    <w:rsid w:val="005E1367"/>
    <w:rsid w:val="005F6573"/>
    <w:rsid w:val="006071FF"/>
    <w:rsid w:val="00607A52"/>
    <w:rsid w:val="0064728B"/>
    <w:rsid w:val="00681B5F"/>
    <w:rsid w:val="006A545F"/>
    <w:rsid w:val="00723D84"/>
    <w:rsid w:val="00797FDA"/>
    <w:rsid w:val="007B3744"/>
    <w:rsid w:val="007E184A"/>
    <w:rsid w:val="007E444D"/>
    <w:rsid w:val="00836160"/>
    <w:rsid w:val="00875735"/>
    <w:rsid w:val="00877BD2"/>
    <w:rsid w:val="00880FBA"/>
    <w:rsid w:val="008A2235"/>
    <w:rsid w:val="008A240A"/>
    <w:rsid w:val="008A7B03"/>
    <w:rsid w:val="008E0494"/>
    <w:rsid w:val="008E5ADF"/>
    <w:rsid w:val="00906668"/>
    <w:rsid w:val="009105D2"/>
    <w:rsid w:val="009439E3"/>
    <w:rsid w:val="009E12E4"/>
    <w:rsid w:val="00A25DEA"/>
    <w:rsid w:val="00A3497E"/>
    <w:rsid w:val="00A5375E"/>
    <w:rsid w:val="00A7692E"/>
    <w:rsid w:val="00AB27CB"/>
    <w:rsid w:val="00AE378C"/>
    <w:rsid w:val="00B166D8"/>
    <w:rsid w:val="00B17125"/>
    <w:rsid w:val="00B5132F"/>
    <w:rsid w:val="00B66362"/>
    <w:rsid w:val="00B7111E"/>
    <w:rsid w:val="00BD5843"/>
    <w:rsid w:val="00C07690"/>
    <w:rsid w:val="00C426D1"/>
    <w:rsid w:val="00CE3017"/>
    <w:rsid w:val="00D16439"/>
    <w:rsid w:val="00D44EBE"/>
    <w:rsid w:val="00DF7131"/>
    <w:rsid w:val="00E77C4D"/>
    <w:rsid w:val="00EC78AB"/>
    <w:rsid w:val="00EE4BD0"/>
    <w:rsid w:val="00F12F33"/>
    <w:rsid w:val="00F33590"/>
    <w:rsid w:val="00F369DB"/>
    <w:rsid w:val="00F400B3"/>
    <w:rsid w:val="00F51762"/>
    <w:rsid w:val="00FB2E75"/>
    <w:rsid w:val="00FE3146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B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A545F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A545F"/>
  </w:style>
  <w:style w:type="paragraph" w:styleId="Pieddepage">
    <w:name w:val="footer"/>
    <w:basedOn w:val="Normal"/>
    <w:link w:val="PieddepageCar"/>
    <w:uiPriority w:val="99"/>
    <w:unhideWhenUsed/>
    <w:rsid w:val="006A545F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5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hart" Target="charts/chart1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chart" Target="charts/chart2.xml"/><Relationship Id="rId28" Type="http://schemas.openxmlformats.org/officeDocument/2006/relationships/image" Target="media/image11.pn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an-\Desktop\20-21\Eduscol%202021\doc%20ressources%20chaudi&#232;re\mod&#233;lisation_cuve_chaudi&#232;re_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an-\Desktop\20-21\Eduscol%202021\doc%20ressources%20chaudi&#232;re\mod&#233;lisation_cuve_chaudi&#232;re_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</a:t>
            </a:r>
            <a:r>
              <a:rPr lang="en-US" baseline="-25000"/>
              <a:t>e</a:t>
            </a:r>
            <a:r>
              <a:rPr lang="en-US"/>
              <a:t> = f(h)</a:t>
            </a:r>
          </a:p>
        </c:rich>
      </c:tx>
      <c:overlay val="1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trendline>
            <c:trendlineType val="poly"/>
            <c:order val="3"/>
            <c:dispRSqr val="0"/>
            <c:dispEq val="0"/>
          </c:trendline>
          <c:xVal>
            <c:numRef>
              <c:f>Feuil1!$A$2:$A$62</c:f>
              <c:numCache>
                <c:formatCode>General</c:formatCode>
                <c:ptCount val="61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0.15000000000000022</c:v>
                </c:pt>
                <c:pt idx="4">
                  <c:v>0.2</c:v>
                </c:pt>
                <c:pt idx="5">
                  <c:v>0.25</c:v>
                </c:pt>
                <c:pt idx="6">
                  <c:v>0.30000000000000032</c:v>
                </c:pt>
                <c:pt idx="7">
                  <c:v>0.35000000000000031</c:v>
                </c:pt>
                <c:pt idx="8">
                  <c:v>0.40000000000000008</c:v>
                </c:pt>
                <c:pt idx="9">
                  <c:v>0.45</c:v>
                </c:pt>
                <c:pt idx="10">
                  <c:v>0.5</c:v>
                </c:pt>
                <c:pt idx="11">
                  <c:v>0.54999999999999993</c:v>
                </c:pt>
                <c:pt idx="12">
                  <c:v>0.60000000000000064</c:v>
                </c:pt>
                <c:pt idx="13">
                  <c:v>0.65000000000000102</c:v>
                </c:pt>
                <c:pt idx="14">
                  <c:v>0.70000000000000062</c:v>
                </c:pt>
                <c:pt idx="15">
                  <c:v>0.750000000000001</c:v>
                </c:pt>
                <c:pt idx="16">
                  <c:v>0.8000000000000006</c:v>
                </c:pt>
                <c:pt idx="17">
                  <c:v>0.85000000000000064</c:v>
                </c:pt>
                <c:pt idx="18">
                  <c:v>0.90000000000000024</c:v>
                </c:pt>
                <c:pt idx="19">
                  <c:v>0.95000000000000062</c:v>
                </c:pt>
                <c:pt idx="20">
                  <c:v>1.0000000000000002</c:v>
                </c:pt>
                <c:pt idx="21">
                  <c:v>1.0500000000000003</c:v>
                </c:pt>
                <c:pt idx="22">
                  <c:v>1.1000000000000003</c:v>
                </c:pt>
                <c:pt idx="23">
                  <c:v>1.1500000000000019</c:v>
                </c:pt>
                <c:pt idx="24">
                  <c:v>1.2000000000000004</c:v>
                </c:pt>
                <c:pt idx="25">
                  <c:v>1.2500000000000004</c:v>
                </c:pt>
                <c:pt idx="26">
                  <c:v>1.3000000000000005</c:v>
                </c:pt>
                <c:pt idx="27">
                  <c:v>1.3500000000000005</c:v>
                </c:pt>
                <c:pt idx="28">
                  <c:v>1.4000000000000006</c:v>
                </c:pt>
                <c:pt idx="29">
                  <c:v>1.4500000000000006</c:v>
                </c:pt>
                <c:pt idx="30">
                  <c:v>1.5000000000000007</c:v>
                </c:pt>
                <c:pt idx="31">
                  <c:v>1.5500000000000007</c:v>
                </c:pt>
                <c:pt idx="32">
                  <c:v>1.6000000000000021</c:v>
                </c:pt>
                <c:pt idx="33">
                  <c:v>1.6500000000000021</c:v>
                </c:pt>
                <c:pt idx="34">
                  <c:v>1.7000000000000008</c:v>
                </c:pt>
                <c:pt idx="35">
                  <c:v>1.7500000000000009</c:v>
                </c:pt>
                <c:pt idx="36">
                  <c:v>1.8000000000000009</c:v>
                </c:pt>
                <c:pt idx="37">
                  <c:v>1.8500000000000021</c:v>
                </c:pt>
                <c:pt idx="38">
                  <c:v>1.9000000000000021</c:v>
                </c:pt>
                <c:pt idx="39">
                  <c:v>1.9500000000000026</c:v>
                </c:pt>
                <c:pt idx="40">
                  <c:v>2.0000000000000009</c:v>
                </c:pt>
                <c:pt idx="41">
                  <c:v>2.0500000000000007</c:v>
                </c:pt>
                <c:pt idx="42">
                  <c:v>2.1000000000000005</c:v>
                </c:pt>
                <c:pt idx="43">
                  <c:v>2.1500000000000004</c:v>
                </c:pt>
                <c:pt idx="44">
                  <c:v>2.2000000000000002</c:v>
                </c:pt>
                <c:pt idx="45">
                  <c:v>2.25</c:v>
                </c:pt>
                <c:pt idx="46">
                  <c:v>2.2999999999999998</c:v>
                </c:pt>
                <c:pt idx="47">
                  <c:v>2.3499999999999988</c:v>
                </c:pt>
                <c:pt idx="48">
                  <c:v>2.3999999999999977</c:v>
                </c:pt>
                <c:pt idx="49">
                  <c:v>2.4499999999999993</c:v>
                </c:pt>
                <c:pt idx="50">
                  <c:v>2.4999999999999987</c:v>
                </c:pt>
                <c:pt idx="51">
                  <c:v>2.5499999999999989</c:v>
                </c:pt>
                <c:pt idx="52">
                  <c:v>2.5999999999999988</c:v>
                </c:pt>
                <c:pt idx="53">
                  <c:v>2.6499999999999986</c:v>
                </c:pt>
                <c:pt idx="54">
                  <c:v>2.6999999999999984</c:v>
                </c:pt>
                <c:pt idx="55">
                  <c:v>2.7499999999999982</c:v>
                </c:pt>
                <c:pt idx="56">
                  <c:v>2.799999999999998</c:v>
                </c:pt>
                <c:pt idx="57">
                  <c:v>2.8499999999999979</c:v>
                </c:pt>
                <c:pt idx="58">
                  <c:v>2.8999999999999977</c:v>
                </c:pt>
                <c:pt idx="59">
                  <c:v>2.9499999999999975</c:v>
                </c:pt>
                <c:pt idx="60">
                  <c:v>2.9999999999999973</c:v>
                </c:pt>
              </c:numCache>
            </c:numRef>
          </c:xVal>
          <c:yVal>
            <c:numRef>
              <c:f>Feuil1!$I$2:$I$62</c:f>
              <c:numCache>
                <c:formatCode>General</c:formatCode>
                <c:ptCount val="61"/>
                <c:pt idx="0">
                  <c:v>0</c:v>
                </c:pt>
                <c:pt idx="1">
                  <c:v>5.6518886145752005E-2</c:v>
                </c:pt>
                <c:pt idx="2">
                  <c:v>0.15904894116386792</c:v>
                </c:pt>
                <c:pt idx="3">
                  <c:v>0.29069323904412925</c:v>
                </c:pt>
                <c:pt idx="4">
                  <c:v>0.44523034270524614</c:v>
                </c:pt>
                <c:pt idx="5">
                  <c:v>0.61896389674356056</c:v>
                </c:pt>
                <c:pt idx="6">
                  <c:v>0.80933048852675749</c:v>
                </c:pt>
                <c:pt idx="7">
                  <c:v>1.0143954355703844</c:v>
                </c:pt>
                <c:pt idx="8">
                  <c:v>1.2326170862827461</c:v>
                </c:pt>
                <c:pt idx="9">
                  <c:v>1.4627192589214106</c:v>
                </c:pt>
                <c:pt idx="10">
                  <c:v>1.7036151440614857</c:v>
                </c:pt>
                <c:pt idx="11">
                  <c:v>1.9543586086271441</c:v>
                </c:pt>
                <c:pt idx="12">
                  <c:v>2.214111329107983</c:v>
                </c:pt>
                <c:pt idx="13">
                  <c:v>2.4821196557433876</c:v>
                </c:pt>
                <c:pt idx="14">
                  <c:v>2.7576977600235413</c:v>
                </c:pt>
                <c:pt idx="15">
                  <c:v>3.040215004056674</c:v>
                </c:pt>
                <c:pt idx="16">
                  <c:v>3.3290862414126394</c:v>
                </c:pt>
                <c:pt idx="17">
                  <c:v>3.6237642101893637</c:v>
                </c:pt>
                <c:pt idx="18">
                  <c:v>3.9237334543981621</c:v>
                </c:pt>
                <c:pt idx="19">
                  <c:v>4.2285053839572955</c:v>
                </c:pt>
                <c:pt idx="20">
                  <c:v>4.5376141972264286</c:v>
                </c:pt>
                <c:pt idx="21">
                  <c:v>4.8506134661543578</c:v>
                </c:pt>
                <c:pt idx="22">
                  <c:v>5.1670732363168952</c:v>
                </c:pt>
                <c:pt idx="23">
                  <c:v>5.4865775306390399</c:v>
                </c:pt>
                <c:pt idx="24">
                  <c:v>5.8087221715804684</c:v>
                </c:pt>
                <c:pt idx="25">
                  <c:v>6.1331128553210785</c:v>
                </c:pt>
                <c:pt idx="26">
                  <c:v>6.459363425173537</c:v>
                </c:pt>
                <c:pt idx="27">
                  <c:v>6.7870943015172385</c:v>
                </c:pt>
                <c:pt idx="28">
                  <c:v>7.1159310329680121</c:v>
                </c:pt>
                <c:pt idx="29">
                  <c:v>7.4455029389350775</c:v>
                </c:pt>
                <c:pt idx="30">
                  <c:v>7.7754418176347428</c:v>
                </c:pt>
                <c:pt idx="31">
                  <c:v>8.1053806963344037</c:v>
                </c:pt>
                <c:pt idx="32">
                  <c:v>8.4349526023014629</c:v>
                </c:pt>
                <c:pt idx="33">
                  <c:v>8.763789333752257</c:v>
                </c:pt>
                <c:pt idx="34">
                  <c:v>9.09152021009597</c:v>
                </c:pt>
                <c:pt idx="35">
                  <c:v>9.4177707799484054</c:v>
                </c:pt>
                <c:pt idx="36">
                  <c:v>9.7421614636890119</c:v>
                </c:pt>
                <c:pt idx="37">
                  <c:v>10.064306104630445</c:v>
                </c:pt>
                <c:pt idx="38">
                  <c:v>10.383810398952575</c:v>
                </c:pt>
                <c:pt idx="39">
                  <c:v>10.700270169115106</c:v>
                </c:pt>
                <c:pt idx="40">
                  <c:v>11.013269438043052</c:v>
                </c:pt>
                <c:pt idx="41">
                  <c:v>11.322378251312173</c:v>
                </c:pt>
                <c:pt idx="42">
                  <c:v>11.627150180871299</c:v>
                </c:pt>
                <c:pt idx="43">
                  <c:v>11.927119425080118</c:v>
                </c:pt>
                <c:pt idx="44">
                  <c:v>12.221797393856841</c:v>
                </c:pt>
                <c:pt idx="45">
                  <c:v>12.510668631212798</c:v>
                </c:pt>
                <c:pt idx="46">
                  <c:v>12.793185875245955</c:v>
                </c:pt>
                <c:pt idx="47">
                  <c:v>13.068763979526087</c:v>
                </c:pt>
                <c:pt idx="48">
                  <c:v>13.336772306161492</c:v>
                </c:pt>
                <c:pt idx="49">
                  <c:v>13.596525026642325</c:v>
                </c:pt>
                <c:pt idx="50">
                  <c:v>13.847268491207988</c:v>
                </c:pt>
                <c:pt idx="51">
                  <c:v>14.088164376348059</c:v>
                </c:pt>
                <c:pt idx="52">
                  <c:v>14.318266548986729</c:v>
                </c:pt>
                <c:pt idx="53">
                  <c:v>14.536488199699086</c:v>
                </c:pt>
                <c:pt idx="54">
                  <c:v>14.741553146742701</c:v>
                </c:pt>
                <c:pt idx="55">
                  <c:v>14.93191973852592</c:v>
                </c:pt>
                <c:pt idx="56">
                  <c:v>15.105653292564238</c:v>
                </c:pt>
                <c:pt idx="57">
                  <c:v>15.260190396225354</c:v>
                </c:pt>
                <c:pt idx="58">
                  <c:v>15.391834694105624</c:v>
                </c:pt>
                <c:pt idx="59">
                  <c:v>15.494364749123719</c:v>
                </c:pt>
                <c:pt idx="60">
                  <c:v>15.550883635269489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596928"/>
        <c:axId val="76145024"/>
      </c:scatterChart>
      <c:valAx>
        <c:axId val="79596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6145024"/>
        <c:crosses val="autoZero"/>
        <c:crossBetween val="midCat"/>
      </c:valAx>
      <c:valAx>
        <c:axId val="7614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5969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</a:t>
            </a:r>
            <a:r>
              <a:rPr lang="en-US" baseline="-25000"/>
              <a:t>e</a:t>
            </a:r>
            <a:r>
              <a:rPr lang="en-US"/>
              <a:t> = f(h) autour de 2,1 m</a:t>
            </a:r>
          </a:p>
        </c:rich>
      </c:tx>
      <c:overlay val="1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trendline>
            <c:trendlineType val="linear"/>
            <c:dispRSqr val="0"/>
            <c:dispEq val="1"/>
            <c:trendlineLbl>
              <c:layout>
                <c:manualLayout>
                  <c:x val="9.3295931758530223E-2"/>
                  <c:y val="0.28234590628443557"/>
                </c:manualLayout>
              </c:layout>
              <c:numFmt formatCode="General" sourceLinked="0"/>
            </c:trendlineLbl>
          </c:trendline>
          <c:xVal>
            <c:numRef>
              <c:f>Feuil1!$A$42:$A$46</c:f>
              <c:numCache>
                <c:formatCode>General</c:formatCode>
                <c:ptCount val="5"/>
                <c:pt idx="0">
                  <c:v>2.0000000000000009</c:v>
                </c:pt>
                <c:pt idx="1">
                  <c:v>2.0500000000000007</c:v>
                </c:pt>
                <c:pt idx="2">
                  <c:v>2.1000000000000005</c:v>
                </c:pt>
                <c:pt idx="3">
                  <c:v>2.1500000000000004</c:v>
                </c:pt>
                <c:pt idx="4">
                  <c:v>2.2000000000000002</c:v>
                </c:pt>
              </c:numCache>
            </c:numRef>
          </c:xVal>
          <c:yVal>
            <c:numRef>
              <c:f>Feuil1!$I$42:$I$46</c:f>
              <c:numCache>
                <c:formatCode>General</c:formatCode>
                <c:ptCount val="5"/>
                <c:pt idx="0">
                  <c:v>11.013269438043052</c:v>
                </c:pt>
                <c:pt idx="1">
                  <c:v>11.322378251312173</c:v>
                </c:pt>
                <c:pt idx="2">
                  <c:v>11.627150180871299</c:v>
                </c:pt>
                <c:pt idx="3">
                  <c:v>11.927119425080118</c:v>
                </c:pt>
                <c:pt idx="4">
                  <c:v>12.221797393856841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577856"/>
        <c:axId val="79579392"/>
      </c:scatterChart>
      <c:valAx>
        <c:axId val="795778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9579392"/>
        <c:crosses val="autoZero"/>
        <c:crossBetween val="midCat"/>
      </c:valAx>
      <c:valAx>
        <c:axId val="7957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5778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C764C-ADF6-40CD-8548-774F8FFE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5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</dc:creator>
  <cp:lastModifiedBy>Jean-Francois</cp:lastModifiedBy>
  <cp:revision>16</cp:revision>
  <cp:lastPrinted>2021-06-09T07:34:00Z</cp:lastPrinted>
  <dcterms:created xsi:type="dcterms:W3CDTF">2021-06-03T04:22:00Z</dcterms:created>
  <dcterms:modified xsi:type="dcterms:W3CDTF">2021-07-01T08:46:00Z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