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3C6" w:rsidRDefault="004403C6" w:rsidP="00AE1329">
      <w:pPr>
        <w:jc w:val="both"/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 xml:space="preserve">1.1 </w:t>
      </w:r>
      <w:r w:rsidR="00AE1329">
        <w:rPr>
          <w:rFonts w:ascii="Arial" w:hAnsi="Arial"/>
        </w:rPr>
        <w:t xml:space="preserve">Le </w:t>
      </w:r>
      <w:r w:rsidR="00EB3531">
        <w:rPr>
          <w:rFonts w:ascii="Arial" w:hAnsi="Arial"/>
        </w:rPr>
        <w:t>diagramme de Sankey du</w:t>
      </w:r>
      <w:r w:rsidR="00AE1329">
        <w:rPr>
          <w:rFonts w:ascii="Arial" w:hAnsi="Arial"/>
        </w:rPr>
        <w:t xml:space="preserve"> D</w:t>
      </w:r>
      <w:r w:rsidR="00EB3531">
        <w:rPr>
          <w:rFonts w:ascii="Arial" w:hAnsi="Arial"/>
        </w:rPr>
        <w:t>R</w:t>
      </w:r>
      <w:r w:rsidR="00AE1329">
        <w:rPr>
          <w:rFonts w:ascii="Arial" w:hAnsi="Arial"/>
        </w:rPr>
        <w:t>1 montre que l'énergie solaire thermique représente 2</w:t>
      </w:r>
      <w:r w:rsidR="006D79BA">
        <w:rPr>
          <w:rFonts w:ascii="Arial" w:hAnsi="Arial"/>
        </w:rPr>
        <w:t>1</w:t>
      </w:r>
      <w:r w:rsidR="00AE1329">
        <w:rPr>
          <w:rFonts w:ascii="Arial" w:hAnsi="Arial"/>
        </w:rPr>
        <w:t>,</w:t>
      </w:r>
      <w:r w:rsidR="006D79BA">
        <w:rPr>
          <w:rFonts w:ascii="Arial" w:hAnsi="Arial"/>
        </w:rPr>
        <w:t>2</w:t>
      </w:r>
      <w:r w:rsidR="00EB3531">
        <w:rPr>
          <w:rFonts w:ascii="Arial" w:hAnsi="Arial"/>
        </w:rPr>
        <w:t xml:space="preserve"> </w:t>
      </w:r>
      <w:r w:rsidR="00AE1329">
        <w:rPr>
          <w:rFonts w:ascii="Arial" w:hAnsi="Arial"/>
        </w:rPr>
        <w:t>ktep. Seule 3</w:t>
      </w:r>
      <w:r w:rsidR="006D79BA">
        <w:rPr>
          <w:rFonts w:ascii="Arial" w:hAnsi="Arial"/>
        </w:rPr>
        <w:t>1</w:t>
      </w:r>
      <w:r w:rsidR="003715DD">
        <w:rPr>
          <w:rFonts w:ascii="Arial" w:hAnsi="Arial"/>
        </w:rPr>
        <w:t xml:space="preserve"> </w:t>
      </w:r>
      <w:r w:rsidR="00AE1329">
        <w:rPr>
          <w:rFonts w:ascii="Arial" w:hAnsi="Arial"/>
        </w:rPr>
        <w:t>% de cette énergie (soit 6,</w:t>
      </w:r>
      <w:r w:rsidR="006D79BA">
        <w:rPr>
          <w:rFonts w:ascii="Arial" w:hAnsi="Arial"/>
        </w:rPr>
        <w:t>57</w:t>
      </w:r>
      <w:r w:rsidR="00EB3531">
        <w:rPr>
          <w:rFonts w:ascii="Arial" w:hAnsi="Arial"/>
        </w:rPr>
        <w:t xml:space="preserve"> </w:t>
      </w:r>
      <w:r w:rsidR="00AE1329">
        <w:rPr>
          <w:rFonts w:ascii="Arial" w:hAnsi="Arial"/>
        </w:rPr>
        <w:t>ktep) est utilisée dans le</w:t>
      </w:r>
      <w:r w:rsidR="00EB3531">
        <w:rPr>
          <w:rFonts w:ascii="Arial" w:hAnsi="Arial"/>
        </w:rPr>
        <w:t>s</w:t>
      </w:r>
      <w:r w:rsidR="00AE1329">
        <w:rPr>
          <w:rFonts w:ascii="Arial" w:hAnsi="Arial"/>
        </w:rPr>
        <w:t xml:space="preserve"> </w:t>
      </w:r>
      <w:r w:rsidR="00EB3531">
        <w:rPr>
          <w:rFonts w:ascii="Arial" w:hAnsi="Arial"/>
        </w:rPr>
        <w:t xml:space="preserve">secteurs </w:t>
      </w:r>
      <w:r w:rsidR="00AE1329">
        <w:rPr>
          <w:rFonts w:ascii="Arial" w:hAnsi="Arial"/>
        </w:rPr>
        <w:t>résidentiel</w:t>
      </w:r>
      <w:r w:rsidR="003715DD">
        <w:rPr>
          <w:rFonts w:ascii="Arial" w:hAnsi="Arial"/>
        </w:rPr>
        <w:t>s</w:t>
      </w:r>
      <w:r w:rsidR="00AE1329">
        <w:rPr>
          <w:rFonts w:ascii="Arial" w:hAnsi="Arial"/>
        </w:rPr>
        <w:t>.</w:t>
      </w:r>
    </w:p>
    <w:p w:rsidR="00AE1329" w:rsidRPr="004403C6" w:rsidRDefault="00AE1329" w:rsidP="00AE1329">
      <w:pPr>
        <w:jc w:val="both"/>
        <w:rPr>
          <w:rFonts w:ascii="Arial" w:hAnsi="Arial"/>
        </w:rPr>
      </w:pPr>
    </w:p>
    <w:p w:rsidR="00E960C6" w:rsidRDefault="00E960C6" w:rsidP="00AE1329">
      <w:pPr>
        <w:jc w:val="both"/>
        <w:rPr>
          <w:rFonts w:ascii="Arial" w:hAnsi="Arial"/>
        </w:rPr>
      </w:pPr>
      <w:r>
        <w:rPr>
          <w:rFonts w:ascii="Arial" w:hAnsi="Arial"/>
        </w:rPr>
        <w:t>Sachant que 1tep = 1,163.10</w:t>
      </w:r>
      <w:r w:rsidRPr="00E960C6">
        <w:rPr>
          <w:rFonts w:ascii="Arial" w:hAnsi="Arial"/>
          <w:vertAlign w:val="superscript"/>
        </w:rPr>
        <w:t>7</w:t>
      </w:r>
      <w:r>
        <w:rPr>
          <w:rFonts w:ascii="Arial" w:hAnsi="Arial"/>
        </w:rPr>
        <w:t xml:space="preserve"> Wh on conclue que l'énergie imputable au solaire est de l'ordre de 7</w:t>
      </w:r>
      <w:r w:rsidR="006D79BA">
        <w:rPr>
          <w:rFonts w:ascii="Arial" w:hAnsi="Arial"/>
        </w:rPr>
        <w:t>6,4</w:t>
      </w:r>
      <w:r w:rsidR="00EB3531">
        <w:rPr>
          <w:rFonts w:ascii="Arial" w:hAnsi="Arial"/>
        </w:rPr>
        <w:t>3</w:t>
      </w:r>
      <w:r>
        <w:rPr>
          <w:rFonts w:ascii="Arial" w:hAnsi="Arial"/>
        </w:rPr>
        <w:t xml:space="preserve"> GWh.</w:t>
      </w:r>
    </w:p>
    <w:p w:rsidR="00E960C6" w:rsidRDefault="0040669D" w:rsidP="00C958AE">
      <w:pPr>
        <w:jc w:val="center"/>
        <w:rPr>
          <w:rFonts w:ascii="Arial" w:hAnsi="Arial"/>
        </w:rPr>
      </w:pPr>
      <w:r w:rsidRPr="00C958AE">
        <w:rPr>
          <w:rFonts w:ascii="Arial" w:hAnsi="Arial"/>
          <w:bdr w:val="single" w:sz="12" w:space="0" w:color="FF0000"/>
        </w:rPr>
        <w:t>Energie</w:t>
      </w:r>
      <w:r w:rsidR="00C958AE" w:rsidRPr="00C958AE">
        <w:rPr>
          <w:rFonts w:ascii="Arial" w:hAnsi="Arial"/>
          <w:bdr w:val="single" w:sz="12" w:space="0" w:color="FF0000"/>
          <w:vertAlign w:val="subscript"/>
        </w:rPr>
        <w:t>Solaire</w:t>
      </w:r>
      <w:r w:rsidR="00C958AE" w:rsidRPr="00C958AE">
        <w:rPr>
          <w:rFonts w:ascii="Arial" w:hAnsi="Arial"/>
          <w:bdr w:val="single" w:sz="12" w:space="0" w:color="FF0000"/>
        </w:rPr>
        <w:t xml:space="preserve"> = 76,43 GWh</w:t>
      </w:r>
    </w:p>
    <w:p w:rsidR="00C958AE" w:rsidRDefault="00C958AE" w:rsidP="00C958AE">
      <w:pPr>
        <w:jc w:val="center"/>
        <w:rPr>
          <w:rFonts w:ascii="Arial" w:hAnsi="Arial"/>
        </w:rPr>
      </w:pPr>
    </w:p>
    <w:p w:rsidR="00E960C6" w:rsidRDefault="00E960C6" w:rsidP="00AE1329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1.2 </w:t>
      </w:r>
      <w:r w:rsidR="009D74EE">
        <w:rPr>
          <w:rFonts w:ascii="Arial" w:hAnsi="Arial"/>
        </w:rPr>
        <w:t>En 201</w:t>
      </w:r>
      <w:r w:rsidR="006D79BA">
        <w:rPr>
          <w:rFonts w:ascii="Arial" w:hAnsi="Arial"/>
        </w:rPr>
        <w:t>6</w:t>
      </w:r>
      <w:r w:rsidR="009D74EE">
        <w:rPr>
          <w:rFonts w:ascii="Arial" w:hAnsi="Arial"/>
        </w:rPr>
        <w:t>, la production d'énergie électrique valait 2</w:t>
      </w:r>
      <w:r w:rsidR="00CB6F4E">
        <w:rPr>
          <w:rFonts w:ascii="Arial" w:hAnsi="Arial"/>
        </w:rPr>
        <w:t>943</w:t>
      </w:r>
      <w:r w:rsidR="009D74EE">
        <w:rPr>
          <w:rFonts w:ascii="Arial" w:hAnsi="Arial"/>
        </w:rPr>
        <w:t>,</w:t>
      </w:r>
      <w:r w:rsidR="00CB6F4E">
        <w:rPr>
          <w:rFonts w:ascii="Arial" w:hAnsi="Arial"/>
        </w:rPr>
        <w:t>6</w:t>
      </w:r>
      <w:r w:rsidR="009D74EE">
        <w:rPr>
          <w:rFonts w:ascii="Arial" w:hAnsi="Arial"/>
        </w:rPr>
        <w:t xml:space="preserve"> GWh</w:t>
      </w:r>
      <w:r w:rsidR="00CB6F4E">
        <w:rPr>
          <w:rFonts w:ascii="Arial" w:hAnsi="Arial"/>
        </w:rPr>
        <w:t xml:space="preserve"> (voir D</w:t>
      </w:r>
      <w:r w:rsidR="000B033E">
        <w:rPr>
          <w:rFonts w:ascii="Arial" w:hAnsi="Arial"/>
        </w:rPr>
        <w:t>R</w:t>
      </w:r>
      <w:r w:rsidR="00CB6F4E">
        <w:rPr>
          <w:rFonts w:ascii="Arial" w:hAnsi="Arial"/>
        </w:rPr>
        <w:t>3)</w:t>
      </w:r>
      <w:r w:rsidR="009D74EE">
        <w:rPr>
          <w:rFonts w:ascii="Arial" w:hAnsi="Arial"/>
        </w:rPr>
        <w:t>.</w:t>
      </w:r>
    </w:p>
    <w:p w:rsidR="009D74EE" w:rsidRDefault="009D74EE" w:rsidP="00AE1329">
      <w:pPr>
        <w:jc w:val="both"/>
        <w:rPr>
          <w:rFonts w:ascii="Arial" w:hAnsi="Arial"/>
        </w:rPr>
      </w:pPr>
      <w:r>
        <w:rPr>
          <w:rFonts w:ascii="Arial" w:hAnsi="Arial"/>
        </w:rPr>
        <w:t>La même année on a émis 1</w:t>
      </w:r>
      <w:r w:rsidR="005E5A1A">
        <w:rPr>
          <w:rFonts w:ascii="Arial" w:hAnsi="Arial"/>
        </w:rPr>
        <w:t xml:space="preserve"> </w:t>
      </w:r>
      <w:r w:rsidR="00CB6F4E">
        <w:rPr>
          <w:rFonts w:ascii="Arial" w:hAnsi="Arial"/>
        </w:rPr>
        <w:t>953</w:t>
      </w:r>
      <w:r w:rsidR="005E5A1A">
        <w:rPr>
          <w:rFonts w:ascii="Arial" w:hAnsi="Arial"/>
        </w:rPr>
        <w:t xml:space="preserve"> </w:t>
      </w:r>
      <w:r w:rsidR="00CB6F4E">
        <w:rPr>
          <w:rFonts w:ascii="Arial" w:hAnsi="Arial"/>
        </w:rPr>
        <w:t>332</w:t>
      </w:r>
      <w:r>
        <w:rPr>
          <w:rFonts w:ascii="Arial" w:hAnsi="Arial"/>
        </w:rPr>
        <w:t xml:space="preserve"> tonne</w:t>
      </w:r>
      <w:r w:rsidR="00CB6F4E">
        <w:rPr>
          <w:rFonts w:ascii="Arial" w:hAnsi="Arial"/>
        </w:rPr>
        <w:t>s</w:t>
      </w:r>
      <w:r>
        <w:rPr>
          <w:rFonts w:ascii="Arial" w:hAnsi="Arial"/>
        </w:rPr>
        <w:t xml:space="preserve"> de CO</w:t>
      </w:r>
      <w:r w:rsidRPr="009D74EE">
        <w:rPr>
          <w:rFonts w:ascii="Arial" w:hAnsi="Arial"/>
          <w:vertAlign w:val="subscript"/>
        </w:rPr>
        <w:t>2</w:t>
      </w:r>
      <w:r>
        <w:rPr>
          <w:rFonts w:ascii="Arial" w:hAnsi="Arial"/>
        </w:rPr>
        <w:t xml:space="preserve"> pour la production d'énergie électrique</w:t>
      </w:r>
      <w:r w:rsidR="00CB6F4E">
        <w:rPr>
          <w:rFonts w:ascii="Arial" w:hAnsi="Arial"/>
        </w:rPr>
        <w:t xml:space="preserve"> (voir D</w:t>
      </w:r>
      <w:r w:rsidR="000B033E">
        <w:rPr>
          <w:rFonts w:ascii="Arial" w:hAnsi="Arial"/>
        </w:rPr>
        <w:t>R</w:t>
      </w:r>
      <w:r w:rsidR="00CB6F4E">
        <w:rPr>
          <w:rFonts w:ascii="Arial" w:hAnsi="Arial"/>
        </w:rPr>
        <w:t>4)</w:t>
      </w:r>
      <w:r>
        <w:rPr>
          <w:rFonts w:ascii="Arial" w:hAnsi="Arial"/>
        </w:rPr>
        <w:t>.</w:t>
      </w:r>
    </w:p>
    <w:p w:rsidR="009D74EE" w:rsidRDefault="009D74EE" w:rsidP="00AE1329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Le facteur d'émission est </w:t>
      </w:r>
      <w:r w:rsidR="00170CD9">
        <w:rPr>
          <w:rFonts w:ascii="Arial" w:hAnsi="Arial"/>
        </w:rPr>
        <w:t>6</w:t>
      </w:r>
      <w:r w:rsidR="00CB6F4E">
        <w:rPr>
          <w:rFonts w:ascii="Arial" w:hAnsi="Arial"/>
        </w:rPr>
        <w:t>63</w:t>
      </w:r>
      <w:r w:rsidR="00170CD9">
        <w:rPr>
          <w:rFonts w:ascii="Arial" w:hAnsi="Arial"/>
        </w:rPr>
        <w:t xml:space="preserve"> gCO</w:t>
      </w:r>
      <w:r w:rsidR="00170CD9" w:rsidRPr="00170CD9">
        <w:rPr>
          <w:rFonts w:ascii="Arial" w:hAnsi="Arial"/>
          <w:vertAlign w:val="subscript"/>
        </w:rPr>
        <w:t>2</w:t>
      </w:r>
      <w:r w:rsidR="00170CD9">
        <w:rPr>
          <w:rFonts w:ascii="Arial" w:hAnsi="Arial"/>
        </w:rPr>
        <w:t>/kWh.</w:t>
      </w:r>
    </w:p>
    <w:p w:rsidR="00C958AE" w:rsidRDefault="00C958AE" w:rsidP="00AE1329">
      <w:pPr>
        <w:jc w:val="both"/>
        <w:rPr>
          <w:rFonts w:ascii="Arial" w:hAnsi="Arial"/>
        </w:rPr>
      </w:pPr>
    </w:p>
    <w:p w:rsidR="00C958AE" w:rsidRDefault="00C958AE" w:rsidP="00C958AE">
      <w:pPr>
        <w:jc w:val="center"/>
        <w:rPr>
          <w:rFonts w:ascii="Arial" w:hAnsi="Arial"/>
        </w:rPr>
      </w:pPr>
      <w:r w:rsidRPr="00C958AE">
        <w:rPr>
          <w:rFonts w:ascii="Arial" w:hAnsi="Arial"/>
          <w:bdr w:val="single" w:sz="12" w:space="0" w:color="FF0000"/>
        </w:rPr>
        <w:t>Facteur</w:t>
      </w:r>
      <w:r w:rsidRPr="00C958AE">
        <w:rPr>
          <w:rFonts w:ascii="Arial" w:hAnsi="Arial"/>
          <w:bdr w:val="single" w:sz="12" w:space="0" w:color="FF0000"/>
          <w:vertAlign w:val="subscript"/>
        </w:rPr>
        <w:t>Emission</w:t>
      </w:r>
      <w:r w:rsidRPr="00C958AE">
        <w:rPr>
          <w:rFonts w:ascii="Arial" w:hAnsi="Arial"/>
          <w:bdr w:val="single" w:sz="12" w:space="0" w:color="FF0000"/>
        </w:rPr>
        <w:t xml:space="preserve"> = 663 gCO</w:t>
      </w:r>
      <w:r w:rsidRPr="00C958AE">
        <w:rPr>
          <w:rFonts w:ascii="Arial" w:hAnsi="Arial"/>
          <w:bdr w:val="single" w:sz="12" w:space="0" w:color="FF0000"/>
          <w:vertAlign w:val="subscript"/>
        </w:rPr>
        <w:t>2</w:t>
      </w:r>
      <w:r w:rsidRPr="00C958AE">
        <w:rPr>
          <w:rFonts w:ascii="Arial" w:hAnsi="Arial"/>
          <w:bdr w:val="single" w:sz="12" w:space="0" w:color="FF0000"/>
        </w:rPr>
        <w:t>/kWh</w:t>
      </w:r>
    </w:p>
    <w:p w:rsidR="00170CD9" w:rsidRDefault="00170CD9" w:rsidP="00AE1329">
      <w:pPr>
        <w:jc w:val="both"/>
        <w:rPr>
          <w:rFonts w:ascii="Arial" w:hAnsi="Arial"/>
        </w:rPr>
      </w:pPr>
    </w:p>
    <w:p w:rsidR="00170CD9" w:rsidRDefault="00826CA1" w:rsidP="00AE1329">
      <w:pPr>
        <w:jc w:val="both"/>
        <w:rPr>
          <w:rFonts w:ascii="Arial" w:hAnsi="Arial"/>
        </w:rPr>
      </w:pPr>
      <w:r>
        <w:rPr>
          <w:rFonts w:ascii="Arial" w:hAnsi="Arial"/>
        </w:rPr>
        <w:t>1.3 En analysant le D</w:t>
      </w:r>
      <w:r w:rsidR="000B033E">
        <w:rPr>
          <w:rFonts w:ascii="Arial" w:hAnsi="Arial"/>
        </w:rPr>
        <w:t>R</w:t>
      </w:r>
      <w:r w:rsidR="00D02B2A">
        <w:rPr>
          <w:rFonts w:ascii="Arial" w:hAnsi="Arial"/>
        </w:rPr>
        <w:t>1</w:t>
      </w:r>
      <w:r>
        <w:rPr>
          <w:rFonts w:ascii="Arial" w:hAnsi="Arial"/>
        </w:rPr>
        <w:t>, pour l'année 201</w:t>
      </w:r>
      <w:r w:rsidR="00D02B2A">
        <w:rPr>
          <w:rFonts w:ascii="Arial" w:hAnsi="Arial"/>
        </w:rPr>
        <w:t>6</w:t>
      </w:r>
      <w:r>
        <w:rPr>
          <w:rFonts w:ascii="Arial" w:hAnsi="Arial"/>
        </w:rPr>
        <w:t xml:space="preserve">, </w:t>
      </w:r>
      <w:r w:rsidR="00D02B2A">
        <w:rPr>
          <w:rFonts w:ascii="Arial" w:hAnsi="Arial"/>
        </w:rPr>
        <w:t>on voit que seulement 1/3</w:t>
      </w:r>
      <w:r>
        <w:rPr>
          <w:rFonts w:ascii="Arial" w:hAnsi="Arial"/>
        </w:rPr>
        <w:t xml:space="preserve"> de l'énergie électrique est produite par des centrales </w:t>
      </w:r>
      <w:r w:rsidR="00D02B2A">
        <w:rPr>
          <w:rFonts w:ascii="Arial" w:hAnsi="Arial"/>
        </w:rPr>
        <w:t xml:space="preserve">ENR, les centrales </w:t>
      </w:r>
      <w:r>
        <w:rPr>
          <w:rFonts w:ascii="Arial" w:hAnsi="Arial"/>
        </w:rPr>
        <w:t>thermiques ou des turbines à combustion</w:t>
      </w:r>
      <w:r w:rsidR="00D02B2A">
        <w:rPr>
          <w:rFonts w:ascii="Arial" w:hAnsi="Arial"/>
        </w:rPr>
        <w:t xml:space="preserve"> génèrent les 2/3 restants</w:t>
      </w:r>
      <w:r>
        <w:rPr>
          <w:rFonts w:ascii="Arial" w:hAnsi="Arial"/>
        </w:rPr>
        <w:t>.</w:t>
      </w:r>
    </w:p>
    <w:p w:rsidR="00826CA1" w:rsidRPr="004403C6" w:rsidRDefault="00826CA1" w:rsidP="00AE1329">
      <w:pPr>
        <w:jc w:val="both"/>
        <w:rPr>
          <w:rFonts w:ascii="Arial" w:hAnsi="Arial"/>
        </w:rPr>
      </w:pPr>
    </w:p>
    <w:p w:rsidR="00C50AF7" w:rsidRDefault="00826CA1" w:rsidP="00AE1329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1.4 La consommation d'énergie électrique ne cesse d'augmenter. </w:t>
      </w:r>
      <w:r w:rsidR="00AA4C9D">
        <w:rPr>
          <w:rFonts w:ascii="Arial" w:hAnsi="Arial"/>
        </w:rPr>
        <w:t>La compensation de</w:t>
      </w:r>
      <w:r>
        <w:rPr>
          <w:rFonts w:ascii="Arial" w:hAnsi="Arial"/>
        </w:rPr>
        <w:t xml:space="preserve"> cette augmentation par des sources "propres" serait souhaitable</w:t>
      </w:r>
      <w:r w:rsidR="00FB0C70">
        <w:rPr>
          <w:rFonts w:ascii="Arial" w:hAnsi="Arial"/>
        </w:rPr>
        <w:t xml:space="preserve"> pour diminuer le facteur d’émission de CO</w:t>
      </w:r>
      <w:r w:rsidR="00FB0C70" w:rsidRPr="00FB0C70">
        <w:rPr>
          <w:rFonts w:ascii="Arial" w:hAnsi="Arial"/>
          <w:vertAlign w:val="subscript"/>
        </w:rPr>
        <w:t>2</w:t>
      </w:r>
      <w:r>
        <w:rPr>
          <w:rFonts w:ascii="Arial" w:hAnsi="Arial"/>
        </w:rPr>
        <w:t>. Sur l'île, p</w:t>
      </w:r>
      <w:r w:rsidR="00C50AF7" w:rsidRPr="004403C6">
        <w:rPr>
          <w:rFonts w:ascii="Arial" w:hAnsi="Arial"/>
        </w:rPr>
        <w:t xml:space="preserve">our financer </w:t>
      </w:r>
      <w:r>
        <w:rPr>
          <w:rFonts w:ascii="Arial" w:hAnsi="Arial"/>
        </w:rPr>
        <w:t>un</w:t>
      </w:r>
      <w:r w:rsidR="00C50AF7" w:rsidRPr="004403C6">
        <w:rPr>
          <w:rFonts w:ascii="Arial" w:hAnsi="Arial"/>
        </w:rPr>
        <w:t xml:space="preserve"> CESI</w:t>
      </w:r>
      <w:r>
        <w:rPr>
          <w:rFonts w:ascii="Arial" w:hAnsi="Arial"/>
        </w:rPr>
        <w:t xml:space="preserve"> (Chauffe Eau Solaire Individuel)</w:t>
      </w:r>
      <w:r w:rsidR="00C50AF7" w:rsidRPr="004403C6">
        <w:rPr>
          <w:rFonts w:ascii="Arial" w:hAnsi="Arial"/>
        </w:rPr>
        <w:t xml:space="preserve">, </w:t>
      </w:r>
      <w:r>
        <w:rPr>
          <w:rFonts w:ascii="Arial" w:hAnsi="Arial"/>
        </w:rPr>
        <w:t>on peut</w:t>
      </w:r>
      <w:r w:rsidR="00C50AF7" w:rsidRPr="004403C6">
        <w:rPr>
          <w:rFonts w:ascii="Arial" w:hAnsi="Arial"/>
        </w:rPr>
        <w:t xml:space="preserve"> bénéficier de 32</w:t>
      </w:r>
      <w:r w:rsidR="005E5A1A">
        <w:rPr>
          <w:rFonts w:ascii="Arial" w:hAnsi="Arial"/>
        </w:rPr>
        <w:t xml:space="preserve"> </w:t>
      </w:r>
      <w:r w:rsidR="00C50AF7" w:rsidRPr="004403C6">
        <w:rPr>
          <w:rFonts w:ascii="Arial" w:hAnsi="Arial"/>
        </w:rPr>
        <w:t>% de c</w:t>
      </w:r>
      <w:r>
        <w:rPr>
          <w:rFonts w:ascii="Arial" w:hAnsi="Arial"/>
        </w:rPr>
        <w:t>rédit d’impôt sur le matériel.</w:t>
      </w:r>
      <w:r w:rsidR="003A11BC">
        <w:rPr>
          <w:rFonts w:ascii="Arial" w:hAnsi="Arial"/>
        </w:rPr>
        <w:t xml:space="preserve"> Les collectivités locales et EDF peuvent, sous certaines conditions, bonifier cette aide en attribuant une prime pouvant atteindre 950</w:t>
      </w:r>
      <w:r w:rsidR="005E5A1A">
        <w:rPr>
          <w:rFonts w:ascii="Arial" w:hAnsi="Arial"/>
        </w:rPr>
        <w:t xml:space="preserve"> </w:t>
      </w:r>
      <w:r w:rsidR="003A11BC">
        <w:rPr>
          <w:rFonts w:ascii="Arial" w:hAnsi="Arial"/>
        </w:rPr>
        <w:t>€.</w:t>
      </w:r>
    </w:p>
    <w:p w:rsidR="003A11BC" w:rsidRDefault="003A11BC" w:rsidP="00AE1329">
      <w:pPr>
        <w:jc w:val="both"/>
        <w:rPr>
          <w:rFonts w:ascii="Arial" w:hAnsi="Arial"/>
        </w:rPr>
      </w:pPr>
    </w:p>
    <w:p w:rsidR="00487730" w:rsidRDefault="00487730" w:rsidP="00AE1329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1.5 </w:t>
      </w:r>
      <w:r w:rsidR="00FB0C70">
        <w:rPr>
          <w:rFonts w:ascii="Arial" w:hAnsi="Arial"/>
        </w:rPr>
        <w:t>Chauffe-eau</w:t>
      </w:r>
      <w:r>
        <w:rPr>
          <w:rFonts w:ascii="Arial" w:hAnsi="Arial"/>
        </w:rPr>
        <w:t xml:space="preserve"> au fioul ou </w:t>
      </w:r>
      <w:r w:rsidR="00FB0C70">
        <w:rPr>
          <w:rFonts w:ascii="Arial" w:hAnsi="Arial"/>
        </w:rPr>
        <w:t xml:space="preserve">au </w:t>
      </w:r>
      <w:r>
        <w:rPr>
          <w:rFonts w:ascii="Arial" w:hAnsi="Arial"/>
        </w:rPr>
        <w:t xml:space="preserve">gaz ; CESI ; Géothermie ; Pompe à chaleur ; </w:t>
      </w:r>
      <w:r w:rsidR="003B4021">
        <w:rPr>
          <w:rFonts w:ascii="Arial" w:hAnsi="Arial"/>
        </w:rPr>
        <w:t>Électrique</w:t>
      </w:r>
      <w:r>
        <w:rPr>
          <w:rFonts w:ascii="Arial" w:hAnsi="Arial"/>
        </w:rPr>
        <w:t xml:space="preserve"> ; </w:t>
      </w:r>
      <w:r w:rsidR="00FB0C70">
        <w:rPr>
          <w:rFonts w:ascii="Arial" w:hAnsi="Arial"/>
        </w:rPr>
        <w:t>Chauffe-eau</w:t>
      </w:r>
      <w:r>
        <w:rPr>
          <w:rFonts w:ascii="Arial" w:hAnsi="Arial"/>
        </w:rPr>
        <w:t xml:space="preserve"> thermodynamique etc…</w:t>
      </w:r>
    </w:p>
    <w:p w:rsidR="00487730" w:rsidRDefault="00487730" w:rsidP="00AE1329">
      <w:pPr>
        <w:jc w:val="both"/>
        <w:rPr>
          <w:rFonts w:ascii="Arial" w:hAnsi="Arial"/>
        </w:rPr>
      </w:pPr>
    </w:p>
    <w:p w:rsidR="00C958AE" w:rsidRDefault="00803BC2" w:rsidP="00AE1329">
      <w:pPr>
        <w:jc w:val="both"/>
        <w:rPr>
          <w:rFonts w:ascii="Arial" w:hAnsi="Arial"/>
        </w:rPr>
      </w:pPr>
      <w:r>
        <w:rPr>
          <w:rFonts w:ascii="Arial" w:hAnsi="Arial"/>
        </w:rPr>
        <w:t>1.6</w:t>
      </w:r>
      <w:r w:rsidR="00C958AE">
        <w:rPr>
          <w:rFonts w:ascii="Arial" w:hAnsi="Arial"/>
        </w:rPr>
        <w:t xml:space="preserve"> Calcul de l’énergie annuelle utile :</w:t>
      </w:r>
    </w:p>
    <w:p w:rsidR="00C958AE" w:rsidRDefault="00C958AE" w:rsidP="00AE1329">
      <w:pPr>
        <w:jc w:val="both"/>
        <w:rPr>
          <w:rFonts w:ascii="Arial" w:hAnsi="Arial"/>
        </w:rPr>
      </w:pPr>
    </w:p>
    <w:p w:rsidR="00D51A50" w:rsidRPr="00D51A50" w:rsidRDefault="00AB3C3E" w:rsidP="00C958AE">
      <w:pPr>
        <w:jc w:val="center"/>
        <w:rPr>
          <w:rFonts w:ascii="Arial" w:hAnsi="Arial"/>
        </w:rPr>
      </w:pPr>
      <m:oMathPara>
        <m:oMath>
          <m:sSub>
            <m:sSubPr>
              <m:ctrlPr>
                <w:rPr>
                  <w:rFonts w:ascii="Cambria Math" w:hAnsi="Cambria Math"/>
                  <w:bdr w:val="single" w:sz="12" w:space="0" w:color="FF000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bdr w:val="single" w:sz="12" w:space="0" w:color="FF0000"/>
                </w:rPr>
                <m:t>E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bdr w:val="single" w:sz="12" w:space="0" w:color="FF0000"/>
                </w:rPr>
                <m:t>u</m:t>
              </m:r>
            </m:sub>
          </m:sSub>
          <m:r>
            <m:rPr>
              <m:sty m:val="p"/>
            </m:rPr>
            <w:rPr>
              <w:rFonts w:ascii="Cambria Math" w:hAnsi="Cambria Math"/>
              <w:bdr w:val="single" w:sz="12" w:space="0" w:color="FF0000"/>
            </w:rPr>
            <m:t>=</m:t>
          </m:r>
          <m:f>
            <m:fPr>
              <m:ctrlPr>
                <w:rPr>
                  <w:rFonts w:ascii="Cambria Math" w:hAnsi="Cambria Math"/>
                  <w:bdr w:val="single" w:sz="12" w:space="0" w:color="FF000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bdr w:val="single" w:sz="12" w:space="0" w:color="FF0000"/>
                </w:rPr>
                <m:t>m.C.∆θ.365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bdr w:val="single" w:sz="12" w:space="0" w:color="FF0000"/>
                </w:rPr>
                <m:t>3,6.</m:t>
              </m:r>
              <m:sSup>
                <m:sSupPr>
                  <m:ctrlPr>
                    <w:rPr>
                      <w:rFonts w:ascii="Cambria Math" w:hAnsi="Cambria Math"/>
                      <w:bdr w:val="single" w:sz="12" w:space="0" w:color="FF000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single" w:sz="12" w:space="0" w:color="FF0000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bdr w:val="single" w:sz="12" w:space="0" w:color="FF0000"/>
                    </w:rPr>
                    <m:t>6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bdr w:val="single" w:sz="12" w:space="0" w:color="FF0000"/>
            </w:rPr>
            <m:t>=</m:t>
          </m:r>
          <m:f>
            <m:fPr>
              <m:ctrlPr>
                <w:rPr>
                  <w:rFonts w:ascii="Cambria Math" w:hAnsi="Cambria Math"/>
                  <w:bdr w:val="single" w:sz="12" w:space="0" w:color="FF000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bdr w:val="single" w:sz="12" w:space="0" w:color="FF0000"/>
                </w:rPr>
                <m:t>200.4185.</m:t>
              </m:r>
              <m:d>
                <m:dPr>
                  <m:ctrlPr>
                    <w:rPr>
                      <w:rFonts w:ascii="Cambria Math" w:hAnsi="Cambria Math"/>
                      <w:bdr w:val="single" w:sz="12" w:space="0" w:color="FF0000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single" w:sz="12" w:space="0" w:color="FF0000"/>
                    </w:rPr>
                    <m:t>60-20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bdr w:val="single" w:sz="12" w:space="0" w:color="FF0000"/>
                </w:rPr>
                <m:t>.365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bdr w:val="single" w:sz="12" w:space="0" w:color="FF0000"/>
                </w:rPr>
                <m:t>3,6.</m:t>
              </m:r>
              <m:sSup>
                <m:sSupPr>
                  <m:ctrlPr>
                    <w:rPr>
                      <w:rFonts w:ascii="Cambria Math" w:hAnsi="Cambria Math"/>
                      <w:bdr w:val="single" w:sz="12" w:space="0" w:color="FF000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single" w:sz="12" w:space="0" w:color="FF0000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bdr w:val="single" w:sz="12" w:space="0" w:color="FF0000"/>
                    </w:rPr>
                    <m:t>6</m:t>
                  </m:r>
                </m:sup>
              </m:sSup>
            </m:den>
          </m:f>
          <m:r>
            <m:rPr>
              <m:sty m:val="p"/>
            </m:rPr>
            <w:rPr>
              <w:rFonts w:ascii="Cambria Math" w:hAnsi="Cambria Math"/>
              <w:bdr w:val="single" w:sz="12" w:space="0" w:color="FF0000"/>
            </w:rPr>
            <m:t>=3394kWh</m:t>
          </m:r>
        </m:oMath>
      </m:oMathPara>
    </w:p>
    <w:p w:rsidR="004635FD" w:rsidRPr="004403C6" w:rsidRDefault="004635FD" w:rsidP="00AE1329">
      <w:pPr>
        <w:jc w:val="both"/>
        <w:rPr>
          <w:rFonts w:ascii="Arial" w:hAnsi="Arial"/>
        </w:rPr>
      </w:pPr>
    </w:p>
    <w:p w:rsidR="00B4003E" w:rsidRDefault="00D51A50" w:rsidP="00AE1329">
      <w:pPr>
        <w:jc w:val="both"/>
        <w:rPr>
          <w:rFonts w:ascii="Arial" w:hAnsi="Arial"/>
        </w:rPr>
      </w:pPr>
      <w:r>
        <w:rPr>
          <w:rFonts w:ascii="Arial" w:hAnsi="Arial"/>
        </w:rPr>
        <w:t>1.7 Le coût annuel dans le cas d'un chauffage au fioul</w:t>
      </w:r>
      <w:r w:rsidR="00DE57E8">
        <w:rPr>
          <w:rFonts w:ascii="Arial" w:hAnsi="Arial"/>
        </w:rPr>
        <w:t xml:space="preserve"> (C</w:t>
      </w:r>
      <w:r w:rsidR="00DE57E8" w:rsidRPr="00D51A50">
        <w:rPr>
          <w:rFonts w:ascii="Arial" w:hAnsi="Arial"/>
          <w:vertAlign w:val="subscript"/>
        </w:rPr>
        <w:t>a</w:t>
      </w:r>
      <w:r w:rsidR="00DE57E8">
        <w:rPr>
          <w:rFonts w:ascii="Arial" w:hAnsi="Arial"/>
          <w:vertAlign w:val="subscript"/>
        </w:rPr>
        <w:t>f</w:t>
      </w:r>
      <w:r w:rsidR="00DE57E8">
        <w:rPr>
          <w:rFonts w:ascii="Arial" w:hAnsi="Arial"/>
        </w:rPr>
        <w:t>)</w:t>
      </w:r>
      <w:r>
        <w:rPr>
          <w:rFonts w:ascii="Arial" w:hAnsi="Arial"/>
        </w:rPr>
        <w:t xml:space="preserve"> est :</w:t>
      </w:r>
    </w:p>
    <w:p w:rsidR="00C958AE" w:rsidRDefault="00C958AE" w:rsidP="00AE1329">
      <w:pPr>
        <w:jc w:val="both"/>
        <w:rPr>
          <w:rFonts w:ascii="Arial" w:hAnsi="Arial"/>
        </w:rPr>
      </w:pPr>
    </w:p>
    <w:p w:rsidR="00D51A50" w:rsidRPr="00C958AE" w:rsidRDefault="00AB3C3E" w:rsidP="00AE1329">
      <w:pPr>
        <w:jc w:val="both"/>
        <w:rPr>
          <w:rFonts w:ascii="Arial" w:hAnsi="Arial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bdr w:val="single" w:sz="12" w:space="0" w:color="FF000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bdr w:val="single" w:sz="12" w:space="0" w:color="FF0000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bdr w:val="single" w:sz="12" w:space="0" w:color="FF0000"/>
                </w:rPr>
                <m:t>af</m:t>
              </m:r>
            </m:sub>
          </m:sSub>
          <m:r>
            <m:rPr>
              <m:sty m:val="p"/>
            </m:rPr>
            <w:rPr>
              <w:rFonts w:ascii="Cambria Math" w:hAnsi="Cambria Math"/>
              <w:bdr w:val="single" w:sz="12" w:space="0" w:color="FF0000"/>
            </w:rPr>
            <m:t>=0,68.</m:t>
          </m:r>
          <m:f>
            <m:fPr>
              <m:ctrlPr>
                <w:rPr>
                  <w:rFonts w:ascii="Cambria Math" w:hAnsi="Cambria Math"/>
                  <w:bdr w:val="single" w:sz="12" w:space="0" w:color="FF000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dr w:val="single" w:sz="12" w:space="0" w:color="FF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single" w:sz="12" w:space="0" w:color="FF0000"/>
                    </w:rPr>
                    <m:t>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bdr w:val="single" w:sz="12" w:space="0" w:color="FF0000"/>
                    </w:rPr>
                    <m:t>u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dr w:val="single" w:sz="12" w:space="0" w:color="FF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single" w:sz="12" w:space="0" w:color="FF0000"/>
                    </w:rPr>
                    <m:t>η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bdr w:val="single" w:sz="12" w:space="0" w:color="FF0000"/>
                    </w:rPr>
                    <m:t>chaudière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bdr w:val="single" w:sz="12" w:space="0" w:color="FF0000"/>
                </w:rPr>
                <m:t>.10</m:t>
              </m:r>
            </m:den>
          </m:f>
          <m:r>
            <m:rPr>
              <m:sty m:val="p"/>
            </m:rPr>
            <w:rPr>
              <w:rFonts w:ascii="Cambria Math" w:hAnsi="Cambria Math"/>
              <w:bdr w:val="single" w:sz="12" w:space="0" w:color="FF0000"/>
            </w:rPr>
            <m:t>=0,68.</m:t>
          </m:r>
          <m:f>
            <m:fPr>
              <m:ctrlPr>
                <w:rPr>
                  <w:rFonts w:ascii="Cambria Math" w:hAnsi="Cambria Math"/>
                  <w:bdr w:val="single" w:sz="12" w:space="0" w:color="FF000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bdr w:val="single" w:sz="12" w:space="0" w:color="FF0000"/>
                </w:rPr>
                <m:t>3394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bdr w:val="single" w:sz="12" w:space="0" w:color="FF0000"/>
                </w:rPr>
                <m:t>0,9.10</m:t>
              </m:r>
            </m:den>
          </m:f>
          <m:r>
            <m:rPr>
              <m:sty m:val="p"/>
            </m:rPr>
            <w:rPr>
              <w:rFonts w:ascii="Cambria Math" w:hAnsi="Cambria Math"/>
              <w:bdr w:val="single" w:sz="12" w:space="0" w:color="FF0000"/>
            </w:rPr>
            <m:t>=256,4 €</m:t>
          </m:r>
        </m:oMath>
      </m:oMathPara>
    </w:p>
    <w:p w:rsidR="00D51A50" w:rsidRDefault="00D51A50" w:rsidP="00AE1329">
      <w:pPr>
        <w:jc w:val="both"/>
        <w:rPr>
          <w:rFonts w:ascii="Arial" w:hAnsi="Arial"/>
        </w:rPr>
      </w:pPr>
    </w:p>
    <w:p w:rsidR="00D51A50" w:rsidRDefault="00D51A50" w:rsidP="00AE1329">
      <w:pPr>
        <w:jc w:val="both"/>
        <w:rPr>
          <w:rFonts w:ascii="Arial" w:hAnsi="Arial"/>
        </w:rPr>
      </w:pPr>
      <w:r>
        <w:rPr>
          <w:rFonts w:ascii="Arial" w:hAnsi="Arial"/>
        </w:rPr>
        <w:t>1.8 Le coût annuel (C</w:t>
      </w:r>
      <w:r w:rsidRPr="00D51A50">
        <w:rPr>
          <w:rFonts w:ascii="Arial" w:hAnsi="Arial"/>
          <w:vertAlign w:val="subscript"/>
        </w:rPr>
        <w:t>ae</w:t>
      </w:r>
      <w:r>
        <w:rPr>
          <w:rFonts w:ascii="Arial" w:hAnsi="Arial"/>
        </w:rPr>
        <w:t>) dans le cas d'un chauffage électrique est :</w:t>
      </w:r>
    </w:p>
    <w:p w:rsidR="00C958AE" w:rsidRDefault="00C958AE" w:rsidP="00AE1329">
      <w:pPr>
        <w:jc w:val="both"/>
        <w:rPr>
          <w:rFonts w:ascii="Arial" w:hAnsi="Arial"/>
        </w:rPr>
      </w:pPr>
    </w:p>
    <w:p w:rsidR="00D51A50" w:rsidRPr="00C958AE" w:rsidRDefault="00AB3C3E" w:rsidP="00AE1329">
      <w:pPr>
        <w:jc w:val="both"/>
        <w:rPr>
          <w:rFonts w:ascii="Arial" w:hAnsi="Arial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bdr w:val="single" w:sz="12" w:space="0" w:color="FF000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bdr w:val="single" w:sz="12" w:space="0" w:color="FF0000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bdr w:val="single" w:sz="12" w:space="0" w:color="FF0000"/>
                </w:rPr>
                <m:t>ae</m:t>
              </m:r>
            </m:sub>
          </m:sSub>
          <m:r>
            <m:rPr>
              <m:sty m:val="p"/>
            </m:rPr>
            <w:rPr>
              <w:rFonts w:ascii="Cambria Math" w:hAnsi="Cambria Math"/>
              <w:bdr w:val="single" w:sz="12" w:space="0" w:color="FF0000"/>
            </w:rPr>
            <m:t>=0,15.</m:t>
          </m:r>
          <m:f>
            <m:fPr>
              <m:ctrlPr>
                <w:rPr>
                  <w:rFonts w:ascii="Cambria Math" w:hAnsi="Cambria Math"/>
                  <w:bdr w:val="single" w:sz="12" w:space="0" w:color="FF000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dr w:val="single" w:sz="12" w:space="0" w:color="FF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single" w:sz="12" w:space="0" w:color="FF0000"/>
                    </w:rPr>
                    <m:t>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bdr w:val="single" w:sz="12" w:space="0" w:color="FF0000"/>
                    </w:rPr>
                    <m:t>u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dr w:val="single" w:sz="12" w:space="0" w:color="FF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single" w:sz="12" w:space="0" w:color="FF0000"/>
                    </w:rPr>
                    <m:t>η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bdr w:val="single" w:sz="12" w:space="0" w:color="FF0000"/>
                    </w:rPr>
                    <m:t>électrique</m:t>
                  </m:r>
                </m:sub>
              </m:sSub>
            </m:den>
          </m:f>
          <m:r>
            <m:rPr>
              <m:sty m:val="p"/>
            </m:rPr>
            <w:rPr>
              <w:rFonts w:ascii="Cambria Math" w:hAnsi="Cambria Math"/>
              <w:bdr w:val="single" w:sz="12" w:space="0" w:color="FF0000"/>
            </w:rPr>
            <m:t>=0,15.</m:t>
          </m:r>
          <m:f>
            <m:fPr>
              <m:ctrlPr>
                <w:rPr>
                  <w:rFonts w:ascii="Cambria Math" w:hAnsi="Cambria Math"/>
                  <w:bdr w:val="single" w:sz="12" w:space="0" w:color="FF000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bdr w:val="single" w:sz="12" w:space="0" w:color="FF0000"/>
                </w:rPr>
                <m:t>3394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bdr w:val="single" w:sz="12" w:space="0" w:color="FF0000"/>
                </w:rPr>
                <m:t>1</m:t>
              </m:r>
            </m:den>
          </m:f>
          <m:r>
            <m:rPr>
              <m:sty m:val="p"/>
            </m:rPr>
            <w:rPr>
              <w:rFonts w:ascii="Cambria Math" w:hAnsi="Cambria Math"/>
              <w:bdr w:val="single" w:sz="12" w:space="0" w:color="FF0000"/>
            </w:rPr>
            <m:t>=509,2 €</m:t>
          </m:r>
        </m:oMath>
      </m:oMathPara>
    </w:p>
    <w:p w:rsidR="00DE57E8" w:rsidRDefault="00DE57E8" w:rsidP="00AE1329">
      <w:pPr>
        <w:jc w:val="both"/>
        <w:rPr>
          <w:rFonts w:ascii="Arial" w:hAnsi="Arial"/>
        </w:rPr>
      </w:pPr>
    </w:p>
    <w:p w:rsidR="00501CC4" w:rsidRDefault="00501CC4" w:rsidP="00501CC4">
      <w:pPr>
        <w:jc w:val="both"/>
        <w:rPr>
          <w:rFonts w:ascii="Arial" w:hAnsi="Arial"/>
        </w:rPr>
      </w:pPr>
      <w:r>
        <w:rPr>
          <w:rFonts w:ascii="Arial" w:hAnsi="Arial"/>
        </w:rPr>
        <w:t>1.9 Le coût annuel (C</w:t>
      </w:r>
      <w:r w:rsidRPr="00D51A50">
        <w:rPr>
          <w:rFonts w:ascii="Arial" w:hAnsi="Arial"/>
          <w:vertAlign w:val="subscript"/>
        </w:rPr>
        <w:t>a</w:t>
      </w:r>
      <w:r>
        <w:rPr>
          <w:rFonts w:ascii="Arial" w:hAnsi="Arial"/>
          <w:vertAlign w:val="subscript"/>
        </w:rPr>
        <w:t>g</w:t>
      </w:r>
      <w:r>
        <w:rPr>
          <w:rFonts w:ascii="Arial" w:hAnsi="Arial"/>
        </w:rPr>
        <w:t>) dans le cas d'un chauffage au gaz est :</w:t>
      </w:r>
    </w:p>
    <w:p w:rsidR="00C958AE" w:rsidRDefault="00C958AE" w:rsidP="00501CC4">
      <w:pPr>
        <w:jc w:val="both"/>
        <w:rPr>
          <w:rFonts w:ascii="Arial" w:hAnsi="Arial"/>
        </w:rPr>
      </w:pPr>
    </w:p>
    <w:p w:rsidR="00501CC4" w:rsidRPr="00C958AE" w:rsidRDefault="00AB3C3E" w:rsidP="00501CC4">
      <w:pPr>
        <w:jc w:val="both"/>
        <w:rPr>
          <w:rFonts w:ascii="Arial" w:hAnsi="Arial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bdr w:val="single" w:sz="12" w:space="0" w:color="FF0000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bdr w:val="single" w:sz="12" w:space="0" w:color="FF0000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bdr w:val="single" w:sz="12" w:space="0" w:color="FF0000"/>
                </w:rPr>
                <m:t>ag</m:t>
              </m:r>
            </m:sub>
          </m:sSub>
          <m:r>
            <m:rPr>
              <m:sty m:val="p"/>
            </m:rPr>
            <w:rPr>
              <w:rFonts w:ascii="Cambria Math" w:hAnsi="Cambria Math"/>
              <w:bdr w:val="single" w:sz="12" w:space="0" w:color="FF0000"/>
            </w:rPr>
            <m:t>=</m:t>
          </m:r>
          <m:f>
            <m:fPr>
              <m:ctrlPr>
                <w:rPr>
                  <w:rFonts w:ascii="Cambria Math" w:hAnsi="Cambria Math"/>
                  <w:bdr w:val="single" w:sz="12" w:space="0" w:color="FF0000"/>
                </w:rPr>
              </m:ctrlPr>
            </m:fPr>
            <m:num>
              <m:r>
                <w:rPr>
                  <w:rFonts w:ascii="Cambria Math" w:hAnsi="Cambria Math"/>
                  <w:bdr w:val="single" w:sz="12" w:space="0" w:color="FF0000"/>
                </w:rPr>
                <m:t>12,5</m:t>
              </m:r>
            </m:num>
            <m:den>
              <m:r>
                <w:rPr>
                  <w:rFonts w:ascii="Cambria Math" w:hAnsi="Cambria Math"/>
                  <w:bdr w:val="single" w:sz="12" w:space="0" w:color="FF0000"/>
                </w:rPr>
                <m:t>16,8</m:t>
              </m:r>
            </m:den>
          </m:f>
          <m:r>
            <m:rPr>
              <m:sty m:val="p"/>
            </m:rPr>
            <w:rPr>
              <w:rFonts w:ascii="Cambria Math" w:hAnsi="Cambria Math"/>
              <w:bdr w:val="single" w:sz="12" w:space="0" w:color="FF0000"/>
            </w:rPr>
            <m:t>.</m:t>
          </m:r>
          <m:f>
            <m:fPr>
              <m:ctrlPr>
                <w:rPr>
                  <w:rFonts w:ascii="Cambria Math" w:hAnsi="Cambria Math"/>
                  <w:bdr w:val="single" w:sz="12" w:space="0" w:color="FF0000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bdr w:val="single" w:sz="12" w:space="0" w:color="FF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single" w:sz="12" w:space="0" w:color="FF0000"/>
                    </w:rPr>
                    <m:t>E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bdr w:val="single" w:sz="12" w:space="0" w:color="FF0000"/>
                    </w:rPr>
                    <m:t>u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bdr w:val="single" w:sz="12" w:space="0" w:color="FF0000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single" w:sz="12" w:space="0" w:color="FF0000"/>
                    </w:rPr>
                    <m:t>η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bdr w:val="single" w:sz="12" w:space="0" w:color="FF0000"/>
                    </w:rPr>
                    <m:t>ce-gaz</m:t>
                  </m:r>
                </m:sub>
              </m:sSub>
              <m:r>
                <w:rPr>
                  <w:rFonts w:ascii="Cambria Math" w:hAnsi="Cambria Math"/>
                  <w:bdr w:val="single" w:sz="12" w:space="0" w:color="FF0000"/>
                </w:rPr>
                <m:t>.12,7</m:t>
              </m:r>
            </m:den>
          </m:f>
          <m:r>
            <m:rPr>
              <m:sty m:val="p"/>
            </m:rPr>
            <w:rPr>
              <w:rFonts w:ascii="Cambria Math" w:hAnsi="Cambria Math"/>
              <w:bdr w:val="single" w:sz="12" w:space="0" w:color="FF0000"/>
            </w:rPr>
            <m:t>=</m:t>
          </m:r>
          <m:f>
            <m:fPr>
              <m:ctrlPr>
                <w:rPr>
                  <w:rFonts w:ascii="Cambria Math" w:hAnsi="Cambria Math"/>
                  <w:bdr w:val="single" w:sz="12" w:space="0" w:color="FF0000"/>
                </w:rPr>
              </m:ctrlPr>
            </m:fPr>
            <m:num>
              <m:r>
                <w:rPr>
                  <w:rFonts w:ascii="Cambria Math" w:hAnsi="Cambria Math"/>
                  <w:bdr w:val="single" w:sz="12" w:space="0" w:color="FF0000"/>
                </w:rPr>
                <m:t>16,8</m:t>
              </m:r>
            </m:num>
            <m:den>
              <m:r>
                <w:rPr>
                  <w:rFonts w:ascii="Cambria Math" w:hAnsi="Cambria Math"/>
                  <w:bdr w:val="single" w:sz="12" w:space="0" w:color="FF0000"/>
                </w:rPr>
                <m:t>12,5</m:t>
              </m:r>
            </m:den>
          </m:f>
          <m:r>
            <m:rPr>
              <m:sty m:val="p"/>
            </m:rPr>
            <w:rPr>
              <w:rFonts w:ascii="Cambria Math" w:hAnsi="Cambria Math"/>
              <w:bdr w:val="single" w:sz="12" w:space="0" w:color="FF0000"/>
            </w:rPr>
            <m:t>.</m:t>
          </m:r>
          <m:f>
            <m:fPr>
              <m:ctrlPr>
                <w:rPr>
                  <w:rFonts w:ascii="Cambria Math" w:hAnsi="Cambria Math"/>
                  <w:bdr w:val="single" w:sz="12" w:space="0" w:color="FF000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bdr w:val="single" w:sz="12" w:space="0" w:color="FF0000"/>
                </w:rPr>
                <m:t>3394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bdr w:val="single" w:sz="12" w:space="0" w:color="FF0000"/>
                </w:rPr>
                <m:t>0,9</m:t>
              </m:r>
              <m:r>
                <w:rPr>
                  <w:rFonts w:ascii="Cambria Math" w:hAnsi="Cambria Math"/>
                  <w:bdr w:val="single" w:sz="12" w:space="0" w:color="FF0000"/>
                </w:rPr>
                <m:t>.12,7</m:t>
              </m:r>
            </m:den>
          </m:f>
          <m:r>
            <m:rPr>
              <m:sty m:val="p"/>
            </m:rPr>
            <w:rPr>
              <w:rFonts w:ascii="Cambria Math" w:hAnsi="Cambria Math"/>
              <w:bdr w:val="single" w:sz="12" w:space="0" w:color="FF0000"/>
            </w:rPr>
            <m:t>=399 €</m:t>
          </m:r>
        </m:oMath>
      </m:oMathPara>
    </w:p>
    <w:p w:rsidR="00501CC4" w:rsidRDefault="00501CC4" w:rsidP="00AE1329">
      <w:pPr>
        <w:jc w:val="both"/>
        <w:rPr>
          <w:rFonts w:ascii="Arial" w:hAnsi="Arial"/>
        </w:rPr>
      </w:pPr>
    </w:p>
    <w:p w:rsidR="00DE57E8" w:rsidRDefault="00DE57E8" w:rsidP="00AE1329">
      <w:pPr>
        <w:jc w:val="both"/>
        <w:rPr>
          <w:rFonts w:ascii="Arial" w:hAnsi="Arial"/>
        </w:rPr>
      </w:pPr>
      <w:r>
        <w:rPr>
          <w:rFonts w:ascii="Arial" w:hAnsi="Arial"/>
        </w:rPr>
        <w:lastRenderedPageBreak/>
        <w:t>1.</w:t>
      </w:r>
      <w:r w:rsidR="00501CC4">
        <w:rPr>
          <w:rFonts w:ascii="Arial" w:hAnsi="Arial"/>
        </w:rPr>
        <w:t>10</w:t>
      </w:r>
      <w:r>
        <w:rPr>
          <w:rFonts w:ascii="Arial" w:hAnsi="Arial"/>
        </w:rPr>
        <w:t xml:space="preserve"> </w:t>
      </w:r>
    </w:p>
    <w:p w:rsidR="00DE57E8" w:rsidRDefault="00DE57E8" w:rsidP="00AE1329">
      <w:pPr>
        <w:jc w:val="both"/>
        <w:rPr>
          <w:rFonts w:ascii="Arial" w:hAnsi="Arial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919"/>
        <w:gridCol w:w="1890"/>
        <w:gridCol w:w="1821"/>
        <w:gridCol w:w="1989"/>
        <w:gridCol w:w="1663"/>
      </w:tblGrid>
      <w:tr w:rsidR="00501CC4" w:rsidTr="005E5A1A">
        <w:trPr>
          <w:jc w:val="center"/>
        </w:trPr>
        <w:tc>
          <w:tcPr>
            <w:tcW w:w="1919" w:type="dxa"/>
          </w:tcPr>
          <w:p w:rsidR="00501CC4" w:rsidRDefault="00501CC4" w:rsidP="005E5A1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Chauffe</w:t>
            </w:r>
            <w:r w:rsidR="00214492">
              <w:rPr>
                <w:rFonts w:ascii="Arial" w:hAnsi="Arial"/>
              </w:rPr>
              <w:t>-</w:t>
            </w:r>
            <w:r>
              <w:rPr>
                <w:rFonts w:ascii="Arial" w:hAnsi="Arial"/>
              </w:rPr>
              <w:t>eau</w:t>
            </w:r>
          </w:p>
        </w:tc>
        <w:tc>
          <w:tcPr>
            <w:tcW w:w="1890" w:type="dxa"/>
          </w:tcPr>
          <w:p w:rsidR="00501CC4" w:rsidRDefault="00501CC4" w:rsidP="005E5A1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Solaire</w:t>
            </w:r>
          </w:p>
        </w:tc>
        <w:tc>
          <w:tcPr>
            <w:tcW w:w="1821" w:type="dxa"/>
          </w:tcPr>
          <w:p w:rsidR="00501CC4" w:rsidRDefault="00501CC4" w:rsidP="005E5A1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Fioul</w:t>
            </w:r>
          </w:p>
        </w:tc>
        <w:tc>
          <w:tcPr>
            <w:tcW w:w="1989" w:type="dxa"/>
          </w:tcPr>
          <w:p w:rsidR="00501CC4" w:rsidRDefault="00717F57" w:rsidP="005E5A1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Électrique</w:t>
            </w:r>
          </w:p>
        </w:tc>
        <w:tc>
          <w:tcPr>
            <w:tcW w:w="1663" w:type="dxa"/>
          </w:tcPr>
          <w:p w:rsidR="00501CC4" w:rsidRDefault="00501CC4" w:rsidP="005E5A1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Gaz</w:t>
            </w:r>
          </w:p>
        </w:tc>
      </w:tr>
      <w:tr w:rsidR="00501CC4" w:rsidTr="005E5A1A">
        <w:trPr>
          <w:jc w:val="center"/>
        </w:trPr>
        <w:tc>
          <w:tcPr>
            <w:tcW w:w="1919" w:type="dxa"/>
          </w:tcPr>
          <w:p w:rsidR="00501CC4" w:rsidRDefault="00717F57" w:rsidP="005E5A1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Tarif achat</w:t>
            </w:r>
          </w:p>
        </w:tc>
        <w:tc>
          <w:tcPr>
            <w:tcW w:w="1890" w:type="dxa"/>
          </w:tcPr>
          <w:p w:rsidR="00501CC4" w:rsidRDefault="00717F57" w:rsidP="005E5A1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2000</w:t>
            </w:r>
          </w:p>
        </w:tc>
        <w:tc>
          <w:tcPr>
            <w:tcW w:w="1821" w:type="dxa"/>
          </w:tcPr>
          <w:p w:rsidR="00501CC4" w:rsidRDefault="006B0A22" w:rsidP="005E5A1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1700</w:t>
            </w:r>
          </w:p>
        </w:tc>
        <w:tc>
          <w:tcPr>
            <w:tcW w:w="1989" w:type="dxa"/>
          </w:tcPr>
          <w:p w:rsidR="00501CC4" w:rsidRDefault="00F6310E" w:rsidP="005E5A1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350</w:t>
            </w:r>
          </w:p>
        </w:tc>
        <w:tc>
          <w:tcPr>
            <w:tcW w:w="1663" w:type="dxa"/>
          </w:tcPr>
          <w:p w:rsidR="00501CC4" w:rsidRDefault="006B0A22" w:rsidP="005E5A1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400</w:t>
            </w:r>
          </w:p>
        </w:tc>
      </w:tr>
      <w:tr w:rsidR="00501CC4" w:rsidTr="005E5A1A">
        <w:trPr>
          <w:jc w:val="center"/>
        </w:trPr>
        <w:tc>
          <w:tcPr>
            <w:tcW w:w="1919" w:type="dxa"/>
          </w:tcPr>
          <w:p w:rsidR="00501CC4" w:rsidRDefault="00717F57" w:rsidP="005E5A1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Coût annuel*</w:t>
            </w:r>
          </w:p>
        </w:tc>
        <w:tc>
          <w:tcPr>
            <w:tcW w:w="1890" w:type="dxa"/>
          </w:tcPr>
          <w:p w:rsidR="00501CC4" w:rsidRDefault="00717F57" w:rsidP="005E5A1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0</w:t>
            </w:r>
          </w:p>
        </w:tc>
        <w:tc>
          <w:tcPr>
            <w:tcW w:w="1821" w:type="dxa"/>
          </w:tcPr>
          <w:p w:rsidR="00501CC4" w:rsidRDefault="00F6310E" w:rsidP="005E5A1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256,4</w:t>
            </w:r>
          </w:p>
        </w:tc>
        <w:tc>
          <w:tcPr>
            <w:tcW w:w="1989" w:type="dxa"/>
          </w:tcPr>
          <w:p w:rsidR="00501CC4" w:rsidRDefault="00F6310E" w:rsidP="005E5A1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509,2</w:t>
            </w:r>
          </w:p>
        </w:tc>
        <w:tc>
          <w:tcPr>
            <w:tcW w:w="1663" w:type="dxa"/>
          </w:tcPr>
          <w:p w:rsidR="00501CC4" w:rsidRDefault="00F6310E" w:rsidP="005E5A1A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399</w:t>
            </w:r>
          </w:p>
        </w:tc>
      </w:tr>
    </w:tbl>
    <w:p w:rsidR="006369D6" w:rsidRDefault="006369D6">
      <w:pPr>
        <w:rPr>
          <w:rFonts w:ascii="Arial" w:hAnsi="Arial"/>
        </w:rPr>
      </w:pPr>
    </w:p>
    <w:p w:rsidR="003B4021" w:rsidRDefault="003B4021" w:rsidP="003B4021">
      <w:pPr>
        <w:jc w:val="both"/>
        <w:rPr>
          <w:rFonts w:ascii="Arial" w:hAnsi="Arial"/>
        </w:rPr>
      </w:pPr>
      <w:r>
        <w:rPr>
          <w:rFonts w:ascii="Arial" w:hAnsi="Arial"/>
        </w:rPr>
        <w:t>La durée de vie d’un chauffe-eau solaire est d’environ 25 ans. Il est sans entretien. Même avec son prix d’achat supérieur, en plus d’être écologique, le chauffe-eau solaire présente aussi des avantages économiques. Sans tenir compte des entretiens, comparé aux autres modes de chauffage, au pire, le solaire devient rentable e</w:t>
      </w:r>
      <w:r w:rsidR="003D65C3">
        <w:rPr>
          <w:rFonts w:ascii="Arial" w:hAnsi="Arial"/>
        </w:rPr>
        <w:t>n 7</w:t>
      </w:r>
      <w:r>
        <w:rPr>
          <w:rFonts w:ascii="Arial" w:hAnsi="Arial"/>
        </w:rPr>
        <w:t xml:space="preserve"> ans</w:t>
      </w:r>
      <w:r w:rsidR="003D65C3">
        <w:rPr>
          <w:rFonts w:ascii="Arial" w:hAnsi="Arial"/>
        </w:rPr>
        <w:t xml:space="preserve"> environ</w:t>
      </w:r>
      <w:r>
        <w:rPr>
          <w:rFonts w:ascii="Arial" w:hAnsi="Arial"/>
        </w:rPr>
        <w:t>.</w:t>
      </w:r>
    </w:p>
    <w:p w:rsidR="00214492" w:rsidRDefault="00214492" w:rsidP="003B4021">
      <w:pPr>
        <w:jc w:val="both"/>
        <w:rPr>
          <w:rFonts w:ascii="Arial" w:hAnsi="Arial"/>
        </w:rPr>
      </w:pPr>
    </w:p>
    <w:p w:rsidR="00214492" w:rsidRDefault="00214492" w:rsidP="00214492">
      <w:pPr>
        <w:jc w:val="center"/>
        <w:rPr>
          <w:rFonts w:ascii="Arial" w:hAnsi="Arial"/>
          <w:u w:val="single"/>
        </w:rPr>
      </w:pPr>
      <w:r w:rsidRPr="00214492">
        <w:rPr>
          <w:rFonts w:ascii="Arial" w:hAnsi="Arial"/>
          <w:u w:val="single"/>
        </w:rPr>
        <w:t>Évolution annuelle des dépenses</w:t>
      </w:r>
    </w:p>
    <w:p w:rsidR="00C958AE" w:rsidRDefault="00C958AE" w:rsidP="00214492">
      <w:pPr>
        <w:jc w:val="center"/>
        <w:rPr>
          <w:rFonts w:ascii="Arial" w:hAnsi="Arial"/>
          <w:u w:val="single"/>
        </w:rPr>
      </w:pPr>
    </w:p>
    <w:p w:rsidR="00C958AE" w:rsidRPr="00C958AE" w:rsidRDefault="00C958AE" w:rsidP="00214492">
      <w:pPr>
        <w:jc w:val="center"/>
        <w:rPr>
          <w:rFonts w:ascii="Arial" w:hAnsi="Arial"/>
          <w:i/>
          <w:sz w:val="11"/>
          <w:szCs w:val="11"/>
        </w:rPr>
      </w:pPr>
      <w:r w:rsidRPr="00C958AE">
        <w:rPr>
          <w:rFonts w:ascii="Arial" w:hAnsi="Arial"/>
          <w:i/>
          <w:sz w:val="11"/>
          <w:szCs w:val="11"/>
        </w:rPr>
        <w:t>Allure issue du logiciel Psim</w:t>
      </w:r>
    </w:p>
    <w:p w:rsidR="006369D6" w:rsidRDefault="00AB3C3E">
      <w:pPr>
        <w:rPr>
          <w:rFonts w:ascii="Arial" w:hAnsi="Arial"/>
        </w:rPr>
      </w:pPr>
      <w:r>
        <w:rPr>
          <w:rFonts w:ascii="Arial" w:hAnsi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7" type="#_x0000_t202" alt="" style="position:absolute;margin-left:197.95pt;margin-top:224.75pt;width:61.85pt;height:26.15pt;z-index:251659264;visibility:visible;mso-wrap-style:square;mso-wrap-edited:f;mso-width-percent:0;mso-height-percent:0;mso-width-percent:0;mso-height-percent:0;mso-width-relative:margin;mso-height-relative:margin;v-text-anchor:top" fillcolor="white [3201]" stroked="f" strokeweight=".5pt">
            <v:textbox>
              <w:txbxContent>
                <w:p w:rsidR="006369D6" w:rsidRDefault="006369D6">
                  <w:r>
                    <w:t>Années</w:t>
                  </w:r>
                </w:p>
              </w:txbxContent>
            </v:textbox>
          </v:shape>
        </w:pict>
      </w:r>
      <w:r>
        <w:rPr>
          <w:rFonts w:ascii="Arial" w:hAnsi="Arial"/>
          <w:noProof/>
        </w:rPr>
        <w:pict>
          <v:shape id="Zone de texte 3" o:spid="_x0000_s1026" type="#_x0000_t202" alt="" style="position:absolute;margin-left:-28.7pt;margin-top:79.2pt;width:47.45pt;height:26.15pt;z-index:251661312;visibility:visible;mso-wrap-style:square;mso-wrap-edited:f;mso-width-percent:0;mso-height-percent:0;mso-width-percent:0;mso-height-percent:0;mso-width-relative:margin;mso-height-relative:margin;v-text-anchor:top" filled="f" stroked="f" strokeweight=".5pt">
            <v:textbox>
              <w:txbxContent>
                <w:p w:rsidR="006369D6" w:rsidRDefault="006369D6" w:rsidP="003B4021">
                  <w:r>
                    <w:t>Euros</w:t>
                  </w:r>
                </w:p>
              </w:txbxContent>
            </v:textbox>
          </v:shape>
        </w:pict>
      </w:r>
      <w:r w:rsidR="009F3FEA" w:rsidRPr="009F3FEA">
        <w:rPr>
          <w:rFonts w:ascii="Arial" w:hAnsi="Arial"/>
          <w:noProof/>
        </w:rPr>
        <w:drawing>
          <wp:inline distT="0" distB="0" distL="0" distR="0">
            <wp:extent cx="5756910" cy="2997835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997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369D6" w:rsidSect="00B4003E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C3E" w:rsidRDefault="00AB3C3E" w:rsidP="00EB3531">
      <w:r>
        <w:separator/>
      </w:r>
    </w:p>
  </w:endnote>
  <w:endnote w:type="continuationSeparator" w:id="0">
    <w:p w:rsidR="00AB3C3E" w:rsidRDefault="00AB3C3E" w:rsidP="00EB3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6474492"/>
      <w:docPartObj>
        <w:docPartGallery w:val="Page Numbers (Bottom of Page)"/>
        <w:docPartUnique/>
      </w:docPartObj>
    </w:sdtPr>
    <w:sdtEndPr/>
    <w:sdtContent>
      <w:sdt>
        <w:sdtPr>
          <w:id w:val="123787560"/>
          <w:docPartObj>
            <w:docPartGallery w:val="Page Numbers (Top of Page)"/>
            <w:docPartUnique/>
          </w:docPartObj>
        </w:sdtPr>
        <w:sdtEndPr/>
        <w:sdtContent>
          <w:p w:rsidR="003715DD" w:rsidRDefault="003715DD">
            <w:pPr>
              <w:pStyle w:val="Pieddepage"/>
              <w:jc w:val="center"/>
            </w:pPr>
            <w:r>
              <w:t xml:space="preserve">Page </w:t>
            </w:r>
            <w:r w:rsidR="001C2464"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 w:rsidR="001C2464">
              <w:rPr>
                <w:b/>
              </w:rPr>
              <w:fldChar w:fldCharType="separate"/>
            </w:r>
            <w:r w:rsidR="002155F4">
              <w:rPr>
                <w:b/>
                <w:noProof/>
              </w:rPr>
              <w:t>1</w:t>
            </w:r>
            <w:r w:rsidR="001C2464">
              <w:rPr>
                <w:b/>
              </w:rPr>
              <w:fldChar w:fldCharType="end"/>
            </w:r>
            <w:r>
              <w:t xml:space="preserve"> sur </w:t>
            </w:r>
            <w:r w:rsidR="001C2464"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 w:rsidR="001C2464">
              <w:rPr>
                <w:b/>
              </w:rPr>
              <w:fldChar w:fldCharType="separate"/>
            </w:r>
            <w:r w:rsidR="002155F4">
              <w:rPr>
                <w:b/>
                <w:noProof/>
              </w:rPr>
              <w:t>2</w:t>
            </w:r>
            <w:r w:rsidR="001C2464">
              <w:rPr>
                <w:b/>
              </w:rPr>
              <w:fldChar w:fldCharType="end"/>
            </w:r>
          </w:p>
        </w:sdtContent>
      </w:sdt>
    </w:sdtContent>
  </w:sdt>
  <w:p w:rsidR="003715DD" w:rsidRDefault="003715DD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C3E" w:rsidRDefault="00AB3C3E" w:rsidP="00EB3531">
      <w:r>
        <w:separator/>
      </w:r>
    </w:p>
  </w:footnote>
  <w:footnote w:type="continuationSeparator" w:id="0">
    <w:p w:rsidR="00AB3C3E" w:rsidRDefault="00AB3C3E" w:rsidP="00EB35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531" w:rsidRPr="00EB3531" w:rsidRDefault="00EB3531" w:rsidP="00EB3531">
    <w:pPr>
      <w:pStyle w:val="En-tte"/>
      <w:jc w:val="center"/>
      <w:rPr>
        <w:rFonts w:ascii="Arial" w:hAnsi="Arial" w:cs="Arial"/>
        <w:sz w:val="28"/>
        <w:szCs w:val="28"/>
      </w:rPr>
    </w:pPr>
    <w:r w:rsidRPr="00EB3531">
      <w:rPr>
        <w:rFonts w:ascii="Arial" w:hAnsi="Arial" w:cs="Arial"/>
        <w:sz w:val="28"/>
        <w:szCs w:val="28"/>
      </w:rPr>
      <w:t>ELEMENTS DE CORRECTION ACTIVITÉ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50AF7"/>
    <w:rsid w:val="000B033E"/>
    <w:rsid w:val="00154016"/>
    <w:rsid w:val="00170CD9"/>
    <w:rsid w:val="001918D6"/>
    <w:rsid w:val="001C2464"/>
    <w:rsid w:val="00214492"/>
    <w:rsid w:val="002155F4"/>
    <w:rsid w:val="00301A19"/>
    <w:rsid w:val="003715DD"/>
    <w:rsid w:val="003A11BC"/>
    <w:rsid w:val="003B4021"/>
    <w:rsid w:val="003D65C3"/>
    <w:rsid w:val="003F65C5"/>
    <w:rsid w:val="003F7318"/>
    <w:rsid w:val="0040669D"/>
    <w:rsid w:val="004403C6"/>
    <w:rsid w:val="004635FD"/>
    <w:rsid w:val="00481C0F"/>
    <w:rsid w:val="00487730"/>
    <w:rsid w:val="004A54E5"/>
    <w:rsid w:val="00501CC4"/>
    <w:rsid w:val="00515924"/>
    <w:rsid w:val="005E5A1A"/>
    <w:rsid w:val="006369D6"/>
    <w:rsid w:val="00641206"/>
    <w:rsid w:val="006B0A22"/>
    <w:rsid w:val="006D79BA"/>
    <w:rsid w:val="00710B31"/>
    <w:rsid w:val="00717F57"/>
    <w:rsid w:val="00765920"/>
    <w:rsid w:val="00803BC2"/>
    <w:rsid w:val="008207F0"/>
    <w:rsid w:val="00826CA1"/>
    <w:rsid w:val="008A37DB"/>
    <w:rsid w:val="00985746"/>
    <w:rsid w:val="009B37B2"/>
    <w:rsid w:val="009D74EE"/>
    <w:rsid w:val="009E0855"/>
    <w:rsid w:val="009F3FEA"/>
    <w:rsid w:val="00A13038"/>
    <w:rsid w:val="00A92576"/>
    <w:rsid w:val="00AA4C9D"/>
    <w:rsid w:val="00AB3C3E"/>
    <w:rsid w:val="00AE1329"/>
    <w:rsid w:val="00B0564E"/>
    <w:rsid w:val="00B25F4A"/>
    <w:rsid w:val="00B3169C"/>
    <w:rsid w:val="00B4003E"/>
    <w:rsid w:val="00C50AF7"/>
    <w:rsid w:val="00C958AE"/>
    <w:rsid w:val="00C96056"/>
    <w:rsid w:val="00CB03AE"/>
    <w:rsid w:val="00CB6F4E"/>
    <w:rsid w:val="00CD526A"/>
    <w:rsid w:val="00D02B2A"/>
    <w:rsid w:val="00D51A50"/>
    <w:rsid w:val="00DA6C8E"/>
    <w:rsid w:val="00DC3BCC"/>
    <w:rsid w:val="00DE57E8"/>
    <w:rsid w:val="00E960C6"/>
    <w:rsid w:val="00EB3531"/>
    <w:rsid w:val="00F6310E"/>
    <w:rsid w:val="00FA2931"/>
    <w:rsid w:val="00FB0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69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E1329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4635FD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635FD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635FD"/>
    <w:rPr>
      <w:rFonts w:ascii="Lucida Grande" w:hAnsi="Lucida Grande"/>
      <w:sz w:val="18"/>
      <w:szCs w:val="18"/>
    </w:rPr>
  </w:style>
  <w:style w:type="table" w:styleId="Grilledutableau">
    <w:name w:val="Table Grid"/>
    <w:basedOn w:val="TableauNormal"/>
    <w:uiPriority w:val="59"/>
    <w:rsid w:val="00501C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EB353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3531"/>
  </w:style>
  <w:style w:type="paragraph" w:styleId="Pieddepage">
    <w:name w:val="footer"/>
    <w:basedOn w:val="Normal"/>
    <w:link w:val="PieddepageCar"/>
    <w:uiPriority w:val="99"/>
    <w:unhideWhenUsed/>
    <w:rsid w:val="00EB353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35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8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370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Didier CELESTIN</dc:creator>
  <cp:keywords/>
  <dc:description/>
  <cp:lastModifiedBy>Jean-Francois</cp:lastModifiedBy>
  <cp:revision>8</cp:revision>
  <cp:lastPrinted>2019-04-16T07:38:00Z</cp:lastPrinted>
  <dcterms:created xsi:type="dcterms:W3CDTF">2019-04-01T04:15:00Z</dcterms:created>
  <dcterms:modified xsi:type="dcterms:W3CDTF">2019-04-16T07:38:00Z</dcterms:modified>
</cp:coreProperties>
</file>