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856"/>
        <w:gridCol w:w="3927"/>
      </w:tblGrid>
      <w:tr w:rsidR="00FA2B2E">
        <w:trPr>
          <w:cantSplit/>
          <w:trHeight w:val="423"/>
          <w:jc w:val="right"/>
        </w:trPr>
        <w:tc>
          <w:tcPr>
            <w:tcW w:w="14783" w:type="dxa"/>
            <w:gridSpan w:val="2"/>
            <w:vAlign w:val="center"/>
          </w:tcPr>
          <w:p w:rsidR="00FA2B2E" w:rsidRDefault="00FA2B2E" w:rsidP="00AB26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SESSION 2013</w:t>
            </w:r>
          </w:p>
        </w:tc>
      </w:tr>
      <w:tr w:rsidR="00FA2B2E">
        <w:trPr>
          <w:cantSplit/>
          <w:trHeight w:val="767"/>
          <w:jc w:val="right"/>
        </w:trPr>
        <w:tc>
          <w:tcPr>
            <w:tcW w:w="14783" w:type="dxa"/>
            <w:gridSpan w:val="2"/>
            <w:vAlign w:val="center"/>
          </w:tcPr>
          <w:p w:rsidR="00FA2B2E" w:rsidRDefault="00FA2B2E" w:rsidP="00AB261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CAP Métiers de la Mode – Vêtement Flou</w:t>
            </w:r>
          </w:p>
          <w:p w:rsidR="00FA2B2E" w:rsidRDefault="00FA2B2E" w:rsidP="00AB261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EP1 Analyse et exploitation de données esthétiques et techniques</w:t>
            </w:r>
          </w:p>
        </w:tc>
      </w:tr>
      <w:tr w:rsidR="00FA2B2E">
        <w:trPr>
          <w:cantSplit/>
          <w:trHeight w:val="436"/>
          <w:jc w:val="right"/>
        </w:trPr>
        <w:tc>
          <w:tcPr>
            <w:tcW w:w="10856" w:type="dxa"/>
            <w:vAlign w:val="center"/>
          </w:tcPr>
          <w:p w:rsidR="00FA2B2E" w:rsidRDefault="00FA2B2E" w:rsidP="00AB26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GRILLE D’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EVALUATION</w:t>
            </w:r>
            <w:proofErr w:type="spellEnd"/>
          </w:p>
        </w:tc>
        <w:tc>
          <w:tcPr>
            <w:tcW w:w="3927" w:type="dxa"/>
            <w:vAlign w:val="center"/>
          </w:tcPr>
          <w:p w:rsidR="00FA2B2E" w:rsidRDefault="00FA2B2E" w:rsidP="00AB26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Page G 1/1</w:t>
            </w:r>
          </w:p>
        </w:tc>
      </w:tr>
    </w:tbl>
    <w:p w:rsidR="00FA2B2E" w:rsidRDefault="00FA2B2E" w:rsidP="00E96D99"/>
    <w:p w:rsidR="00FA2B2E" w:rsidRDefault="00FA2B2E" w:rsidP="00E96D99"/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02"/>
        <w:gridCol w:w="4371"/>
        <w:gridCol w:w="3537"/>
        <w:gridCol w:w="346"/>
        <w:gridCol w:w="346"/>
        <w:gridCol w:w="346"/>
        <w:gridCol w:w="352"/>
        <w:gridCol w:w="346"/>
        <w:gridCol w:w="346"/>
        <w:gridCol w:w="346"/>
        <w:gridCol w:w="349"/>
      </w:tblGrid>
      <w:tr w:rsidR="00FA2B2E" w:rsidRPr="00706B63">
        <w:tc>
          <w:tcPr>
            <w:tcW w:w="2865" w:type="pct"/>
            <w:gridSpan w:val="2"/>
            <w:vAlign w:val="center"/>
          </w:tcPr>
          <w:p w:rsidR="00FA2B2E" w:rsidRPr="00801DD7" w:rsidRDefault="00FA2B2E" w:rsidP="00801DD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35" w:type="pct"/>
            <w:gridSpan w:val="9"/>
            <w:vAlign w:val="center"/>
          </w:tcPr>
          <w:p w:rsidR="00FA2B2E" w:rsidRPr="00801DD7" w:rsidRDefault="00FA2B2E" w:rsidP="00FC7F1E">
            <w:pPr>
              <w:tabs>
                <w:tab w:val="left" w:pos="675"/>
                <w:tab w:val="center" w:pos="1451"/>
              </w:tabs>
              <w:ind w:left="-108" w:right="-109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i/>
                <w:iCs/>
                <w:color w:val="0070C0"/>
                <w:sz w:val="24"/>
                <w:szCs w:val="24"/>
              </w:rPr>
              <w:t xml:space="preserve">Support : </w:t>
            </w:r>
            <w:r w:rsidR="00FC7F1E">
              <w:rPr>
                <w:rFonts w:ascii="Arial" w:hAnsi="Arial" w:cs="Arial"/>
                <w:b/>
                <w:bCs/>
                <w:i/>
                <w:iCs/>
                <w:color w:val="0070C0"/>
                <w:sz w:val="24"/>
                <w:szCs w:val="24"/>
              </w:rPr>
              <w:t>Chemisier « NINON »</w:t>
            </w:r>
          </w:p>
        </w:tc>
      </w:tr>
      <w:tr w:rsidR="00FA2B2E" w:rsidRPr="00706B63">
        <w:tc>
          <w:tcPr>
            <w:tcW w:w="2865" w:type="pct"/>
            <w:gridSpan w:val="2"/>
            <w:vAlign w:val="center"/>
          </w:tcPr>
          <w:p w:rsidR="00FA2B2E" w:rsidRPr="00E467B0" w:rsidRDefault="00FA2B2E" w:rsidP="00801DD7">
            <w:pPr>
              <w:jc w:val="center"/>
            </w:pPr>
            <w:r w:rsidRPr="00801DD7">
              <w:rPr>
                <w:rFonts w:ascii="Arial" w:hAnsi="Arial" w:cs="Arial"/>
                <w:b/>
                <w:bCs/>
                <w:sz w:val="24"/>
                <w:szCs w:val="24"/>
              </w:rPr>
              <w:t>Compétences évaluées et critères d’évaluation</w:t>
            </w:r>
          </w:p>
        </w:tc>
        <w:tc>
          <w:tcPr>
            <w:tcW w:w="1196" w:type="pct"/>
            <w:vAlign w:val="center"/>
          </w:tcPr>
          <w:p w:rsidR="00FA2B2E" w:rsidRPr="00801DD7" w:rsidRDefault="00FA2B2E" w:rsidP="00801DD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70C0"/>
                <w:sz w:val="24"/>
                <w:szCs w:val="24"/>
              </w:rPr>
            </w:pPr>
            <w:r w:rsidRPr="00801DD7">
              <w:rPr>
                <w:rFonts w:ascii="Arial" w:hAnsi="Arial" w:cs="Arial"/>
                <w:b/>
                <w:bCs/>
                <w:i/>
                <w:iCs/>
                <w:color w:val="0070C0"/>
                <w:sz w:val="24"/>
                <w:szCs w:val="24"/>
              </w:rPr>
              <w:t>Activités demandées au candidat</w:t>
            </w:r>
          </w:p>
        </w:tc>
        <w:tc>
          <w:tcPr>
            <w:tcW w:w="470" w:type="pct"/>
            <w:gridSpan w:val="4"/>
            <w:vAlign w:val="center"/>
          </w:tcPr>
          <w:p w:rsidR="00FA2B2E" w:rsidRPr="00801DD7" w:rsidRDefault="00FA2B2E" w:rsidP="00801DD7">
            <w:pPr>
              <w:tabs>
                <w:tab w:val="left" w:pos="675"/>
                <w:tab w:val="center" w:pos="1451"/>
              </w:tabs>
              <w:ind w:left="-108" w:right="-109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Domaine Professionnel</w:t>
            </w:r>
          </w:p>
        </w:tc>
        <w:tc>
          <w:tcPr>
            <w:tcW w:w="469" w:type="pct"/>
            <w:gridSpan w:val="4"/>
            <w:vAlign w:val="center"/>
          </w:tcPr>
          <w:p w:rsidR="00FA2B2E" w:rsidRPr="00801DD7" w:rsidRDefault="00FA2B2E" w:rsidP="00801DD7">
            <w:pPr>
              <w:tabs>
                <w:tab w:val="left" w:pos="675"/>
                <w:tab w:val="center" w:pos="1451"/>
              </w:tabs>
              <w:ind w:left="-108" w:right="-109"/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Arts Appliqués</w:t>
            </w:r>
          </w:p>
        </w:tc>
      </w:tr>
      <w:tr w:rsidR="00FA2B2E" w:rsidRPr="00706B63">
        <w:tc>
          <w:tcPr>
            <w:tcW w:w="4061" w:type="pct"/>
            <w:gridSpan w:val="3"/>
            <w:vAlign w:val="center"/>
          </w:tcPr>
          <w:p w:rsidR="00FA2B2E" w:rsidRPr="00801DD7" w:rsidRDefault="00FA2B2E" w:rsidP="00291567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 w:rsidRPr="00801DD7"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  <w:t>C1.1 Collecter les données de la demande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9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8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</w:tr>
      <w:tr w:rsidR="00FA2B2E" w:rsidRPr="00706B63">
        <w:trPr>
          <w:trHeight w:val="998"/>
        </w:trPr>
        <w:tc>
          <w:tcPr>
            <w:tcW w:w="1387" w:type="pct"/>
            <w:vMerge w:val="restart"/>
          </w:tcPr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►</w:t>
            </w:r>
            <w:r w:rsidRPr="00801DD7">
              <w:rPr>
                <w:rFonts w:ascii="CourierNewPSMT" w:hAnsi="CourierNewPSMT"/>
                <w:sz w:val="16"/>
                <w:szCs w:val="16"/>
                <w:lang w:eastAsia="en-US"/>
              </w:rPr>
              <w:t xml:space="preserve"> </w:t>
            </w: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 xml:space="preserve">Consulter et réunir une documentation relative : 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aux matériels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aux matériaux</w:t>
            </w:r>
          </w:p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Rechercher et inventorier les caractéristiques relatives :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à la nature et à l’esthétique du modèle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à l’origine et à l’aspect des matières d’œuvre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aux matériels</w:t>
            </w: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En fonction des ressources mises à disposition, la collecte des données doit permettre l’exploitation des informations concernant le travail à réaliser en arts appliqués</w:t>
            </w:r>
          </w:p>
        </w:tc>
        <w:tc>
          <w:tcPr>
            <w:tcW w:w="1196" w:type="pct"/>
          </w:tcPr>
          <w:p w:rsidR="00FA2B2E" w:rsidRPr="00801DD7" w:rsidRDefault="00FC7F1E" w:rsidP="00AB261E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70C0"/>
              </w:rPr>
              <w:t>DR 9/14</w:t>
            </w: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Identifier des éléments relatifs à l’histoire du vêtement :</w:t>
            </w:r>
          </w:p>
          <w:p w:rsidR="00FA2B2E" w:rsidRPr="00801DD7" w:rsidRDefault="00FC7F1E" w:rsidP="00801DD7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Reporter le nom des vêtements correspondant aux images</w:t>
            </w:r>
          </w:p>
        </w:tc>
        <w:tc>
          <w:tcPr>
            <w:tcW w:w="470" w:type="pct"/>
            <w:gridSpan w:val="4"/>
            <w:shd w:val="clear" w:color="auto" w:fill="7F7F7F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8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FA2B2E" w:rsidRPr="00706B63">
        <w:trPr>
          <w:trHeight w:val="628"/>
        </w:trPr>
        <w:tc>
          <w:tcPr>
            <w:tcW w:w="1387" w:type="pct"/>
            <w:vMerge/>
          </w:tcPr>
          <w:p w:rsidR="00FA2B2E" w:rsidRPr="00801DD7" w:rsidRDefault="00FA2B2E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4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 xml:space="preserve">En fonction des ressources mises à disposition, la collecte des données doit permettre l’exploitation des informations concernant le travail à réaliser dans le domaine professionnel </w:t>
            </w:r>
          </w:p>
        </w:tc>
        <w:tc>
          <w:tcPr>
            <w:tcW w:w="1196" w:type="pct"/>
          </w:tcPr>
          <w:p w:rsidR="00FA2B2E" w:rsidRPr="00801DD7" w:rsidRDefault="00D7221F" w:rsidP="00AB261E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70C0"/>
              </w:rPr>
              <w:t>DR 12/14, DR 13/14</w:t>
            </w: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Interpréter les informations nécessaires à la réalisation : </w:t>
            </w:r>
          </w:p>
          <w:p w:rsidR="00FA2B2E" w:rsidRPr="00801DD7" w:rsidRDefault="00D7221F" w:rsidP="00801DD7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Énumérer les règles de sécurité au poste de repassage</w:t>
            </w:r>
          </w:p>
          <w:p w:rsidR="00FA2B2E" w:rsidRPr="00D7221F" w:rsidRDefault="00D7221F" w:rsidP="00801DD7">
            <w:pPr>
              <w:numPr>
                <w:ilvl w:val="0"/>
                <w:numId w:val="4"/>
              </w:numPr>
              <w:ind w:left="231" w:hanging="218"/>
              <w:rPr>
                <w:color w:val="0070C0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Rechercher les caractéristiques relatives au point de surjet</w:t>
            </w:r>
          </w:p>
          <w:p w:rsidR="00D7221F" w:rsidRPr="00D7221F" w:rsidRDefault="00D7221F" w:rsidP="00801DD7">
            <w:pPr>
              <w:numPr>
                <w:ilvl w:val="0"/>
                <w:numId w:val="4"/>
              </w:numPr>
              <w:ind w:left="231" w:hanging="218"/>
              <w:rPr>
                <w:color w:val="0070C0"/>
                <w:sz w:val="16"/>
                <w:szCs w:val="16"/>
              </w:rPr>
            </w:pPr>
            <w:r w:rsidRPr="00D7221F">
              <w:rPr>
                <w:rFonts w:ascii="Arial" w:hAnsi="Arial" w:cs="Arial"/>
                <w:color w:val="0070C0"/>
                <w:sz w:val="16"/>
                <w:szCs w:val="16"/>
              </w:rPr>
              <w:t>Énumérer des avantages du coton bio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9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shd w:val="clear" w:color="auto" w:fill="7F7F7F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FA2B2E" w:rsidRPr="00706B63" w:rsidTr="00FC7F1E">
        <w:trPr>
          <w:trHeight w:val="517"/>
        </w:trPr>
        <w:tc>
          <w:tcPr>
            <w:tcW w:w="4061" w:type="pct"/>
            <w:gridSpan w:val="3"/>
            <w:vAlign w:val="center"/>
          </w:tcPr>
          <w:p w:rsidR="00FA2B2E" w:rsidRPr="00801DD7" w:rsidRDefault="00FA2B2E" w:rsidP="00291567">
            <w:pPr>
              <w:rPr>
                <w:i/>
                <w:iCs/>
                <w:color w:val="0070C0"/>
              </w:rPr>
            </w:pPr>
            <w:r w:rsidRPr="00801DD7"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  <w:t>C1.2 Lire, décoder, sélectionner et classer les informations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9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8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</w:tr>
      <w:tr w:rsidR="00FA2B2E" w:rsidRPr="00706B63">
        <w:trPr>
          <w:trHeight w:val="413"/>
        </w:trPr>
        <w:tc>
          <w:tcPr>
            <w:tcW w:w="1387" w:type="pct"/>
            <w:vMerge w:val="restart"/>
          </w:tcPr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Interpréter les différentes formes de langage (symboliques, schématiques, graphiques)</w:t>
            </w:r>
          </w:p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Identifier les interventions à effectuer</w:t>
            </w:r>
          </w:p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Extraire les instructions et les renseignements en fonction :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des caractéristiques du modèle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des matières d’œuvre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des matériels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des techniques à mettre en œuvre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du grade de qualité</w:t>
            </w:r>
          </w:p>
          <w:p w:rsidR="00FA2B2E" w:rsidRPr="00801DD7" w:rsidRDefault="00FA2B2E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Noter les informations retenues </w:t>
            </w: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L’interprétation des données doit être conforme :</w:t>
            </w:r>
          </w:p>
          <w:p w:rsidR="00FA2B2E" w:rsidRPr="00801DD7" w:rsidRDefault="00FA2B2E" w:rsidP="00801DD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61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Aux demandes esthétiques et techniques</w:t>
            </w:r>
          </w:p>
        </w:tc>
        <w:tc>
          <w:tcPr>
            <w:tcW w:w="1196" w:type="pct"/>
          </w:tcPr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 w:rsidRPr="00801DD7">
              <w:rPr>
                <w:rFonts w:ascii="Arial" w:hAnsi="Arial" w:cs="Arial"/>
                <w:b/>
                <w:bCs/>
                <w:i/>
                <w:iCs/>
                <w:color w:val="0070C0"/>
              </w:rPr>
              <w:t xml:space="preserve">DR </w:t>
            </w:r>
            <w:r w:rsidR="00324DF1">
              <w:rPr>
                <w:rFonts w:ascii="Arial" w:hAnsi="Arial" w:cs="Arial"/>
                <w:b/>
                <w:bCs/>
                <w:i/>
                <w:iCs/>
                <w:color w:val="0070C0"/>
              </w:rPr>
              <w:t>10/14</w:t>
            </w:r>
            <w:r w:rsidRPr="00801DD7">
              <w:rPr>
                <w:rFonts w:ascii="Arial" w:hAnsi="Arial" w:cs="Arial"/>
                <w:b/>
                <w:bCs/>
                <w:i/>
                <w:iCs/>
                <w:color w:val="0070C0"/>
              </w:rPr>
              <w:t xml:space="preserve"> </w:t>
            </w: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Exploiter  le document de référence. </w:t>
            </w:r>
          </w:p>
          <w:p w:rsidR="00FA2B2E" w:rsidRPr="00801DD7" w:rsidRDefault="00324DF1" w:rsidP="00801DD7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Mettre au point une proposition graphique pour le décor des poches</w:t>
            </w:r>
          </w:p>
          <w:p w:rsidR="00FA2B2E" w:rsidRPr="00801DD7" w:rsidRDefault="00FA2B2E" w:rsidP="00D52E23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470" w:type="pct"/>
            <w:gridSpan w:val="4"/>
            <w:shd w:val="clear" w:color="auto" w:fill="7F7F7F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8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FA2B2E" w:rsidRPr="00706B63" w:rsidTr="00181A0D">
        <w:trPr>
          <w:trHeight w:val="1055"/>
        </w:trPr>
        <w:tc>
          <w:tcPr>
            <w:tcW w:w="1387" w:type="pct"/>
            <w:vMerge/>
          </w:tcPr>
          <w:p w:rsidR="00FA2B2E" w:rsidRPr="00801DD7" w:rsidRDefault="00FA2B2E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Les informations retenues doivent permettre la réalisation du travail à effectuer en arts appliqués</w:t>
            </w:r>
          </w:p>
        </w:tc>
        <w:tc>
          <w:tcPr>
            <w:tcW w:w="1196" w:type="pct"/>
          </w:tcPr>
          <w:p w:rsidR="00324DF1" w:rsidRDefault="00FA2B2E" w:rsidP="00AB261E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 w:rsidRPr="00801DD7">
              <w:rPr>
                <w:rFonts w:ascii="Arial" w:hAnsi="Arial" w:cs="Arial"/>
                <w:b/>
                <w:bCs/>
                <w:i/>
                <w:iCs/>
                <w:color w:val="0070C0"/>
              </w:rPr>
              <w:t>DR</w:t>
            </w:r>
            <w:r w:rsidR="00324DF1">
              <w:rPr>
                <w:rFonts w:ascii="Arial" w:hAnsi="Arial" w:cs="Arial"/>
                <w:b/>
                <w:bCs/>
                <w:i/>
                <w:iCs/>
                <w:color w:val="0070C0"/>
              </w:rPr>
              <w:t xml:space="preserve"> 11/14</w:t>
            </w: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Choisir une des deux propositions graphiques :</w:t>
            </w:r>
          </w:p>
          <w:p w:rsidR="00FA2B2E" w:rsidRPr="00801DD7" w:rsidRDefault="00324DF1" w:rsidP="00801DD7">
            <w:pPr>
              <w:numPr>
                <w:ilvl w:val="0"/>
                <w:numId w:val="4"/>
              </w:numPr>
              <w:ind w:left="231" w:hanging="218"/>
              <w:rPr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Choisir une de vos propositions et l’adapter sur la poche</w:t>
            </w:r>
          </w:p>
        </w:tc>
        <w:tc>
          <w:tcPr>
            <w:tcW w:w="470" w:type="pct"/>
            <w:gridSpan w:val="4"/>
            <w:tcBorders>
              <w:bottom w:val="single" w:sz="4" w:space="0" w:color="auto"/>
            </w:tcBorders>
            <w:shd w:val="clear" w:color="auto" w:fill="7F7F7F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8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FA2B2E" w:rsidRPr="00706B63" w:rsidTr="00181A0D">
        <w:trPr>
          <w:trHeight w:val="310"/>
        </w:trPr>
        <w:tc>
          <w:tcPr>
            <w:tcW w:w="1387" w:type="pct"/>
            <w:vMerge/>
          </w:tcPr>
          <w:p w:rsidR="00FA2B2E" w:rsidRPr="00801DD7" w:rsidRDefault="00FA2B2E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L’interprétation des données doit être conforme :</w:t>
            </w:r>
          </w:p>
          <w:p w:rsidR="00FA2B2E" w:rsidRPr="00801DD7" w:rsidRDefault="00FA2B2E" w:rsidP="00801DD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61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Au vocabulaire professionnel</w:t>
            </w:r>
          </w:p>
          <w:p w:rsidR="00FA2B2E" w:rsidRPr="00801DD7" w:rsidRDefault="00FA2B2E" w:rsidP="00801DD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61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 xml:space="preserve">Aux différents codes et normes de la profession </w:t>
            </w:r>
          </w:p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 xml:space="preserve">Les informations retenues doivent permettre la réalisation du travail à effectuer dans le domaine professionnel </w:t>
            </w:r>
          </w:p>
        </w:tc>
        <w:tc>
          <w:tcPr>
            <w:tcW w:w="1196" w:type="pct"/>
          </w:tcPr>
          <w:p w:rsidR="00FA2B2E" w:rsidRPr="00801DD7" w:rsidRDefault="00FA2B2E" w:rsidP="00181A0D">
            <w:pPr>
              <w:ind w:left="231"/>
              <w:rPr>
                <w:color w:val="0070C0"/>
                <w:sz w:val="16"/>
                <w:szCs w:val="16"/>
              </w:rPr>
            </w:pPr>
          </w:p>
        </w:tc>
        <w:tc>
          <w:tcPr>
            <w:tcW w:w="117" w:type="pct"/>
            <w:tcBorders>
              <w:right w:val="nil"/>
            </w:tcBorders>
            <w:shd w:val="clear" w:color="auto" w:fill="7F7F7F" w:themeFill="text1" w:themeFillTint="80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tcBorders>
              <w:top w:val="nil"/>
              <w:left w:val="nil"/>
              <w:bottom w:val="nil"/>
              <w:right w:val="nil"/>
            </w:tcBorders>
            <w:shd w:val="clear" w:color="auto" w:fill="7F7F7F" w:themeFill="text1" w:themeFillTint="80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9" w:type="pct"/>
            <w:tcBorders>
              <w:left w:val="nil"/>
            </w:tcBorders>
            <w:shd w:val="clear" w:color="auto" w:fill="7F7F7F" w:themeFill="text1" w:themeFillTint="80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shd w:val="clear" w:color="auto" w:fill="7F7F7F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FA2B2E" w:rsidRPr="00706B63">
        <w:trPr>
          <w:trHeight w:val="310"/>
        </w:trPr>
        <w:tc>
          <w:tcPr>
            <w:tcW w:w="4061" w:type="pct"/>
            <w:gridSpan w:val="3"/>
            <w:vAlign w:val="center"/>
          </w:tcPr>
          <w:p w:rsidR="00FA2B2E" w:rsidRPr="00801DD7" w:rsidRDefault="00FA2B2E" w:rsidP="00291567">
            <w:pPr>
              <w:rPr>
                <w:color w:val="0070C0"/>
              </w:rPr>
            </w:pPr>
            <w:r w:rsidRPr="00801DD7"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  <w:t>C2.1 Participer à la construction des éléments du modèle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9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8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</w:tr>
      <w:tr w:rsidR="00FA2B2E" w:rsidRPr="00706B63">
        <w:trPr>
          <w:trHeight w:val="781"/>
        </w:trPr>
        <w:tc>
          <w:tcPr>
            <w:tcW w:w="1387" w:type="pct"/>
            <w:vMerge w:val="restart"/>
          </w:tcPr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Transformer un support existant de modèle simple</w:t>
            </w:r>
          </w:p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Relever tout ou partie d’un modèle</w:t>
            </w:r>
          </w:p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Finaliser le patron du modèle :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Contrôle des formes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Contrôle dimensionnel</w:t>
            </w:r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Patronnage</w:t>
            </w:r>
            <w:proofErr w:type="spellEnd"/>
          </w:p>
          <w:p w:rsidR="00FA2B2E" w:rsidRPr="00801DD7" w:rsidRDefault="00FA2B2E" w:rsidP="00801DD7">
            <w:pPr>
              <w:numPr>
                <w:ilvl w:val="0"/>
                <w:numId w:val="2"/>
              </w:numPr>
              <w:ind w:left="460"/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Identification des éléments</w:t>
            </w:r>
          </w:p>
          <w:p w:rsidR="00FA2B2E" w:rsidRPr="00801DD7" w:rsidRDefault="00FA2B2E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Etc.</w:t>
            </w: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Les documents de références, les aplombs, la forme, les proportions, l’aisance, les mesures sont respectées</w:t>
            </w:r>
          </w:p>
        </w:tc>
        <w:tc>
          <w:tcPr>
            <w:tcW w:w="1196" w:type="pct"/>
            <w:vMerge w:val="restart"/>
          </w:tcPr>
          <w:p w:rsidR="00181A0D" w:rsidRPr="00181A0D" w:rsidRDefault="00181A0D" w:rsidP="00063EC5">
            <w:pPr>
              <w:rPr>
                <w:rFonts w:ascii="Arial" w:hAnsi="Arial" w:cs="Arial"/>
                <w:b/>
                <w:bCs/>
                <w:i/>
                <w:iCs/>
                <w:color w:val="0070C0"/>
              </w:rPr>
            </w:pPr>
            <w:r w:rsidRPr="00181A0D">
              <w:rPr>
                <w:rFonts w:ascii="Arial" w:hAnsi="Arial" w:cs="Arial"/>
                <w:b/>
                <w:bCs/>
                <w:i/>
                <w:iCs/>
                <w:color w:val="0070C0"/>
              </w:rPr>
              <w:t>DR 14/14</w:t>
            </w:r>
          </w:p>
          <w:p w:rsidR="00FA2B2E" w:rsidRPr="00063EC5" w:rsidRDefault="00FA2B2E" w:rsidP="00063EC5">
            <w:pPr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063EC5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Sur la planche des éléments </w:t>
            </w:r>
            <w:r w:rsidR="00181A0D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chemisier « NINON »</w:t>
            </w:r>
          </w:p>
          <w:p w:rsidR="00FA2B2E" w:rsidRDefault="00181A0D" w:rsidP="00063EC5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Créer l’élément dessous de poche</w:t>
            </w:r>
          </w:p>
          <w:p w:rsidR="00181A0D" w:rsidRDefault="00181A0D" w:rsidP="00063EC5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Créer les éléments dessus de poche</w:t>
            </w:r>
          </w:p>
          <w:p w:rsidR="00181A0D" w:rsidRDefault="00181A0D" w:rsidP="00063EC5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Finaliser les patrons des dessus et du dessous de poche (indications, crans, DL)</w:t>
            </w:r>
          </w:p>
          <w:p w:rsidR="00181A0D" w:rsidRPr="00801DD7" w:rsidRDefault="00181A0D" w:rsidP="00063EC5">
            <w:pPr>
              <w:numPr>
                <w:ilvl w:val="0"/>
                <w:numId w:val="4"/>
              </w:numPr>
              <w:ind w:left="231" w:hanging="218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 xml:space="preserve">Réaliser le </w:t>
            </w:r>
            <w:proofErr w:type="spellStart"/>
            <w:r>
              <w:rPr>
                <w:rFonts w:ascii="Arial" w:hAnsi="Arial" w:cs="Arial"/>
                <w:color w:val="0070C0"/>
                <w:sz w:val="16"/>
                <w:szCs w:val="16"/>
              </w:rPr>
              <w:t>patronnage</w:t>
            </w:r>
            <w:proofErr w:type="spellEnd"/>
            <w:r>
              <w:rPr>
                <w:rFonts w:ascii="Arial" w:hAnsi="Arial" w:cs="Arial"/>
                <w:color w:val="0070C0"/>
                <w:sz w:val="16"/>
                <w:szCs w:val="16"/>
              </w:rPr>
              <w:t xml:space="preserve"> industriel du chemisier « NINON »</w:t>
            </w:r>
          </w:p>
        </w:tc>
        <w:tc>
          <w:tcPr>
            <w:tcW w:w="117" w:type="pct"/>
            <w:vMerge w:val="restar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 w:val="restar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 w:val="restar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9" w:type="pct"/>
            <w:vMerge w:val="restar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 w:val="restart"/>
            <w:shd w:val="clear" w:color="auto" w:fill="7F7F7F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FA2B2E" w:rsidRPr="00706B63">
        <w:trPr>
          <w:trHeight w:val="827"/>
        </w:trPr>
        <w:tc>
          <w:tcPr>
            <w:tcW w:w="1387" w:type="pct"/>
            <w:vMerge/>
          </w:tcPr>
          <w:p w:rsidR="00FA2B2E" w:rsidRPr="00801DD7" w:rsidRDefault="00FA2B2E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 report des valeurs des tracés est précis et rigoureux</w:t>
            </w:r>
          </w:p>
        </w:tc>
        <w:tc>
          <w:tcPr>
            <w:tcW w:w="1196" w:type="pct"/>
            <w:vMerge/>
          </w:tcPr>
          <w:p w:rsidR="00FA2B2E" w:rsidRPr="00801DD7" w:rsidRDefault="00FA2B2E" w:rsidP="00AB261E">
            <w:pPr>
              <w:rPr>
                <w:color w:val="0070C0"/>
              </w:rPr>
            </w:pPr>
          </w:p>
        </w:tc>
        <w:tc>
          <w:tcPr>
            <w:tcW w:w="117" w:type="pct"/>
            <w:vMerge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9" w:type="pct"/>
            <w:vMerge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/>
            <w:shd w:val="clear" w:color="auto" w:fill="7F7F7F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FA2B2E" w:rsidRPr="00706B63">
        <w:trPr>
          <w:trHeight w:val="310"/>
        </w:trPr>
        <w:tc>
          <w:tcPr>
            <w:tcW w:w="1387" w:type="pct"/>
            <w:vMerge/>
          </w:tcPr>
          <w:p w:rsidR="00FA2B2E" w:rsidRPr="00801DD7" w:rsidRDefault="00FA2B2E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 xml:space="preserve">L’utilisation des matériels est rationnelle </w:t>
            </w:r>
          </w:p>
        </w:tc>
        <w:tc>
          <w:tcPr>
            <w:tcW w:w="1196" w:type="pct"/>
            <w:vMerge/>
          </w:tcPr>
          <w:p w:rsidR="00FA2B2E" w:rsidRPr="00801DD7" w:rsidRDefault="00FA2B2E" w:rsidP="00AB261E">
            <w:pPr>
              <w:rPr>
                <w:color w:val="0070C0"/>
              </w:rPr>
            </w:pPr>
          </w:p>
        </w:tc>
        <w:tc>
          <w:tcPr>
            <w:tcW w:w="117" w:type="pct"/>
            <w:vMerge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7" w:type="pct"/>
            <w:vMerge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119" w:type="pct"/>
            <w:vMerge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/>
            <w:shd w:val="clear" w:color="auto" w:fill="7F7F7F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FA2B2E" w:rsidRPr="00706B63" w:rsidTr="00063EC5">
        <w:trPr>
          <w:trHeight w:val="310"/>
        </w:trPr>
        <w:tc>
          <w:tcPr>
            <w:tcW w:w="4061" w:type="pct"/>
            <w:gridSpan w:val="3"/>
            <w:vAlign w:val="center"/>
          </w:tcPr>
          <w:p w:rsidR="00FA2B2E" w:rsidRPr="00801DD7" w:rsidRDefault="00FA2B2E" w:rsidP="00291567">
            <w:pPr>
              <w:rPr>
                <w:color w:val="0070C0"/>
              </w:rPr>
            </w:pPr>
            <w:r w:rsidRPr="00801DD7"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  <w:t>C2.2 Effectuer les opérations de préparation  de coupe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9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-</w:t>
            </w:r>
          </w:p>
        </w:tc>
        <w:tc>
          <w:tcPr>
            <w:tcW w:w="117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</w:t>
            </w:r>
          </w:p>
        </w:tc>
        <w:tc>
          <w:tcPr>
            <w:tcW w:w="118" w:type="pct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  <w:t>++</w:t>
            </w:r>
          </w:p>
        </w:tc>
      </w:tr>
      <w:tr w:rsidR="00FA2B2E" w:rsidRPr="00706B63" w:rsidTr="00063EC5">
        <w:trPr>
          <w:trHeight w:val="310"/>
        </w:trPr>
        <w:tc>
          <w:tcPr>
            <w:tcW w:w="1387" w:type="pct"/>
            <w:vMerge w:val="restart"/>
            <w:vAlign w:val="center"/>
          </w:tcPr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Identifier les caractéristiques relatives aux matières d’œuvre (origine, aspect)</w:t>
            </w:r>
          </w:p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Contrôler et préparer les matières d’œuvre en vue du placement</w:t>
            </w:r>
          </w:p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 xml:space="preserve">► Identifier, repérer et contrôler les éléments du patron à couper </w:t>
            </w:r>
          </w:p>
          <w:p w:rsidR="00FA2B2E" w:rsidRPr="00801DD7" w:rsidRDefault="00FA2B2E" w:rsidP="00AB261E">
            <w:pPr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Positionner les éléments du patron sur la matière d’œuvre</w:t>
            </w:r>
          </w:p>
          <w:p w:rsidR="00FA2B2E" w:rsidRPr="00801DD7" w:rsidRDefault="00FA2B2E" w:rsidP="00801DD7">
            <w:pPr>
              <w:autoSpaceDE w:val="0"/>
              <w:autoSpaceDN w:val="0"/>
              <w:adjustRightInd w:val="0"/>
              <w:ind w:left="36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b/>
                <w:bCs/>
                <w:sz w:val="16"/>
                <w:szCs w:val="16"/>
                <w:lang w:eastAsia="en-US"/>
              </w:rPr>
              <w:t>► Matérialiser les contours en tenant compte des ressources et des techniques utilisées</w:t>
            </w: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L’utilisation des matières d’œuvre est conforme</w:t>
            </w:r>
          </w:p>
        </w:tc>
        <w:tc>
          <w:tcPr>
            <w:tcW w:w="1196" w:type="pct"/>
            <w:vMerge w:val="restart"/>
          </w:tcPr>
          <w:p w:rsidR="00FA2B2E" w:rsidRPr="00801DD7" w:rsidRDefault="00FA2B2E" w:rsidP="00AB261E">
            <w:pPr>
              <w:rPr>
                <w:color w:val="0070C0"/>
                <w:sz w:val="16"/>
                <w:szCs w:val="16"/>
              </w:rPr>
            </w:pPr>
          </w:p>
        </w:tc>
        <w:tc>
          <w:tcPr>
            <w:tcW w:w="470" w:type="pct"/>
            <w:gridSpan w:val="4"/>
            <w:vMerge w:val="restart"/>
            <w:shd w:val="clear" w:color="auto" w:fill="8C8C8C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 w:val="restart"/>
            <w:shd w:val="clear" w:color="auto" w:fill="8C8C8C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FA2B2E" w:rsidTr="00063EC5">
        <w:trPr>
          <w:trHeight w:val="454"/>
        </w:trPr>
        <w:tc>
          <w:tcPr>
            <w:tcW w:w="1387" w:type="pct"/>
            <w:vMerge/>
            <w:vAlign w:val="center"/>
          </w:tcPr>
          <w:p w:rsidR="00FA2B2E" w:rsidRPr="00801DD7" w:rsidRDefault="00FA2B2E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 positionnement des éléments est respecté</w:t>
            </w:r>
          </w:p>
        </w:tc>
        <w:tc>
          <w:tcPr>
            <w:tcW w:w="1196" w:type="pct"/>
            <w:vMerge/>
          </w:tcPr>
          <w:p w:rsidR="00FA2B2E" w:rsidRPr="00E467B0" w:rsidRDefault="00FA2B2E" w:rsidP="00AB261E"/>
        </w:tc>
        <w:tc>
          <w:tcPr>
            <w:tcW w:w="470" w:type="pct"/>
            <w:gridSpan w:val="4"/>
            <w:vMerge/>
            <w:shd w:val="clear" w:color="auto" w:fill="8C8C8C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/>
            <w:shd w:val="clear" w:color="auto" w:fill="8C8C8C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A2B2E" w:rsidTr="00063EC5">
        <w:trPr>
          <w:trHeight w:val="557"/>
        </w:trPr>
        <w:tc>
          <w:tcPr>
            <w:tcW w:w="1387" w:type="pct"/>
            <w:vMerge/>
            <w:vAlign w:val="center"/>
          </w:tcPr>
          <w:p w:rsidR="00FA2B2E" w:rsidRPr="00801DD7" w:rsidRDefault="00FA2B2E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 report des valeurs des tracés est précis et rigoureux</w:t>
            </w:r>
          </w:p>
        </w:tc>
        <w:tc>
          <w:tcPr>
            <w:tcW w:w="1196" w:type="pct"/>
            <w:vMerge/>
          </w:tcPr>
          <w:p w:rsidR="00FA2B2E" w:rsidRPr="00E467B0" w:rsidRDefault="00FA2B2E" w:rsidP="00AB261E"/>
        </w:tc>
        <w:tc>
          <w:tcPr>
            <w:tcW w:w="470" w:type="pct"/>
            <w:gridSpan w:val="4"/>
            <w:vMerge/>
            <w:shd w:val="clear" w:color="auto" w:fill="8C8C8C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/>
            <w:shd w:val="clear" w:color="auto" w:fill="8C8C8C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A2B2E" w:rsidTr="00063EC5">
        <w:trPr>
          <w:trHeight w:val="310"/>
        </w:trPr>
        <w:tc>
          <w:tcPr>
            <w:tcW w:w="1387" w:type="pct"/>
            <w:vMerge/>
            <w:vAlign w:val="center"/>
          </w:tcPr>
          <w:p w:rsidR="00FA2B2E" w:rsidRPr="00801DD7" w:rsidRDefault="00FA2B2E" w:rsidP="00AB261E">
            <w:pPr>
              <w:rPr>
                <w:rFonts w:ascii="CourierNewPSMT" w:hAnsi="CourierNewPSMT"/>
                <w:sz w:val="16"/>
                <w:szCs w:val="16"/>
                <w:lang w:eastAsia="en-US"/>
              </w:rPr>
            </w:pPr>
          </w:p>
        </w:tc>
        <w:tc>
          <w:tcPr>
            <w:tcW w:w="1478" w:type="pct"/>
            <w:vAlign w:val="center"/>
          </w:tcPr>
          <w:p w:rsidR="00FA2B2E" w:rsidRPr="00801DD7" w:rsidRDefault="00FA2B2E" w:rsidP="00801DD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6" w:hanging="142"/>
              <w:rPr>
                <w:rFonts w:ascii="Arial" w:hAnsi="Arial"/>
                <w:sz w:val="16"/>
                <w:szCs w:val="16"/>
                <w:lang w:eastAsia="en-US"/>
              </w:rPr>
            </w:pPr>
            <w:r w:rsidRPr="00801DD7">
              <w:rPr>
                <w:rFonts w:ascii="Arial" w:hAnsi="Arial"/>
                <w:sz w:val="16"/>
                <w:szCs w:val="16"/>
                <w:lang w:eastAsia="en-US"/>
              </w:rPr>
              <w:t>Les règles d’hygiène, d’ergonomie et de sécurité sont respectées</w:t>
            </w:r>
          </w:p>
        </w:tc>
        <w:tc>
          <w:tcPr>
            <w:tcW w:w="1196" w:type="pct"/>
            <w:vMerge/>
          </w:tcPr>
          <w:p w:rsidR="00FA2B2E" w:rsidRPr="00E467B0" w:rsidRDefault="00FA2B2E" w:rsidP="00AB261E"/>
        </w:tc>
        <w:tc>
          <w:tcPr>
            <w:tcW w:w="470" w:type="pct"/>
            <w:gridSpan w:val="4"/>
            <w:vMerge/>
            <w:shd w:val="clear" w:color="auto" w:fill="8C8C8C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69" w:type="pct"/>
            <w:gridSpan w:val="4"/>
            <w:vMerge/>
            <w:shd w:val="clear" w:color="auto" w:fill="8C8C8C"/>
            <w:vAlign w:val="center"/>
          </w:tcPr>
          <w:p w:rsidR="00FA2B2E" w:rsidRPr="00801DD7" w:rsidRDefault="00FA2B2E" w:rsidP="00801DD7">
            <w:pPr>
              <w:ind w:left="-178" w:right="-108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FA2B2E">
        <w:trPr>
          <w:trHeight w:val="797"/>
        </w:trPr>
        <w:tc>
          <w:tcPr>
            <w:tcW w:w="4061" w:type="pct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FA2B2E" w:rsidRPr="00E467B0" w:rsidRDefault="00FA2B2E" w:rsidP="00AB261E"/>
        </w:tc>
        <w:tc>
          <w:tcPr>
            <w:tcW w:w="470" w:type="pct"/>
            <w:gridSpan w:val="4"/>
            <w:vAlign w:val="center"/>
          </w:tcPr>
          <w:p w:rsidR="00FA2B2E" w:rsidRPr="00801DD7" w:rsidRDefault="00FA2B2E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</w:p>
          <w:p w:rsidR="00FA2B2E" w:rsidRPr="00801DD7" w:rsidRDefault="00FA2B2E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  <w:t xml:space="preserve"> / 15</w:t>
            </w:r>
          </w:p>
          <w:p w:rsidR="00FA2B2E" w:rsidRPr="00801DD7" w:rsidRDefault="00FA2B2E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  <w:t xml:space="preserve"> </w:t>
            </w:r>
          </w:p>
        </w:tc>
        <w:tc>
          <w:tcPr>
            <w:tcW w:w="469" w:type="pct"/>
            <w:gridSpan w:val="4"/>
            <w:vAlign w:val="center"/>
          </w:tcPr>
          <w:p w:rsidR="00FA2B2E" w:rsidRPr="00801DD7" w:rsidRDefault="00FA2B2E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</w:p>
          <w:p w:rsidR="00FA2B2E" w:rsidRPr="00801DD7" w:rsidRDefault="00FA2B2E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  <w:t>/ 5</w:t>
            </w:r>
          </w:p>
          <w:p w:rsidR="00FA2B2E" w:rsidRPr="00801DD7" w:rsidRDefault="00FA2B2E" w:rsidP="00801DD7">
            <w:pPr>
              <w:ind w:left="-176" w:right="-108"/>
              <w:jc w:val="right"/>
              <w:rPr>
                <w:rFonts w:ascii="Arial" w:hAnsi="Arial" w:cs="Arial"/>
                <w:b/>
                <w:bCs/>
                <w:color w:val="0070C0"/>
                <w:sz w:val="32"/>
                <w:szCs w:val="32"/>
              </w:rPr>
            </w:pPr>
          </w:p>
        </w:tc>
      </w:tr>
      <w:tr w:rsidR="00FA2B2E">
        <w:trPr>
          <w:trHeight w:val="907"/>
        </w:trPr>
        <w:tc>
          <w:tcPr>
            <w:tcW w:w="5000" w:type="pct"/>
            <w:gridSpan w:val="11"/>
          </w:tcPr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  <w:r w:rsidRPr="00801DD7">
              <w:rPr>
                <w:rFonts w:ascii="Arial" w:hAnsi="Arial" w:cs="Arial"/>
                <w:color w:val="0070C0"/>
                <w:sz w:val="8"/>
                <w:szCs w:val="8"/>
              </w:rPr>
              <w:t xml:space="preserve">   </w:t>
            </w: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Numéro d’anonymat : </w:t>
            </w:r>
            <w:r w:rsidRPr="00801DD7">
              <w:rPr>
                <w:rFonts w:ascii="Arial" w:hAnsi="Arial" w:cs="Arial"/>
                <w:color w:val="0070C0"/>
                <w:sz w:val="28"/>
                <w:szCs w:val="28"/>
              </w:rPr>
              <w:t>............................</w:t>
            </w:r>
            <w:r w:rsidRPr="00801DD7">
              <w:rPr>
                <w:rFonts w:ascii="Arial" w:hAnsi="Arial" w:cs="Arial"/>
                <w:color w:val="0070C0"/>
                <w:sz w:val="40"/>
                <w:szCs w:val="40"/>
              </w:rPr>
              <w:t xml:space="preserve"> </w:t>
            </w:r>
            <w:r w:rsidRPr="00801DD7">
              <w:rPr>
                <w:rFonts w:ascii="Arial" w:hAnsi="Arial" w:cs="Arial"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</w:r>
            <w:r w:rsidRPr="00801DD7">
              <w:rPr>
                <w:rFonts w:ascii="Arial" w:hAnsi="Arial" w:cs="Arial"/>
                <w:b/>
                <w:bCs/>
                <w:color w:val="0070C0"/>
                <w:sz w:val="40"/>
                <w:szCs w:val="40"/>
              </w:rPr>
              <w:tab/>
              <w:t>Note               / 20</w:t>
            </w:r>
          </w:p>
          <w:p w:rsidR="00FA2B2E" w:rsidRPr="00801DD7" w:rsidRDefault="00FA2B2E" w:rsidP="00801DD7">
            <w:pPr>
              <w:jc w:val="right"/>
              <w:rPr>
                <w:rFonts w:ascii="Arial" w:hAnsi="Arial" w:cs="Arial"/>
                <w:color w:val="0070C0"/>
              </w:rPr>
            </w:pPr>
            <w:r w:rsidRPr="00801DD7">
              <w:rPr>
                <w:rFonts w:ascii="Arial" w:hAnsi="Arial" w:cs="Arial"/>
                <w:color w:val="0070C0"/>
              </w:rPr>
              <w:t xml:space="preserve"> (en point entier ou demi-point)</w:t>
            </w:r>
          </w:p>
        </w:tc>
      </w:tr>
      <w:tr w:rsidR="00FA2B2E">
        <w:trPr>
          <w:trHeight w:val="907"/>
        </w:trPr>
        <w:tc>
          <w:tcPr>
            <w:tcW w:w="5000" w:type="pct"/>
            <w:gridSpan w:val="11"/>
          </w:tcPr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Commentaire : </w:t>
            </w: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  <w:r w:rsidRPr="00801DD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Noms et signatures des correcteurs :</w:t>
            </w: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  <w:p w:rsidR="00FA2B2E" w:rsidRPr="00801DD7" w:rsidRDefault="00FA2B2E" w:rsidP="00AB261E">
            <w:pPr>
              <w:rPr>
                <w:rFonts w:ascii="Arial" w:hAnsi="Arial" w:cs="Arial"/>
                <w:color w:val="0070C0"/>
                <w:sz w:val="8"/>
                <w:szCs w:val="8"/>
              </w:rPr>
            </w:pPr>
          </w:p>
        </w:tc>
      </w:tr>
    </w:tbl>
    <w:p w:rsidR="00FA2B2E" w:rsidRPr="00E96D99" w:rsidRDefault="00FA2B2E" w:rsidP="00E96D99"/>
    <w:sectPr w:rsidR="00FA2B2E" w:rsidRPr="00E96D99" w:rsidSect="00181A0D">
      <w:pgSz w:w="16839" w:h="23814" w:code="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New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257"/>
    <w:multiLevelType w:val="hybridMultilevel"/>
    <w:tmpl w:val="F1829334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D634B0"/>
    <w:multiLevelType w:val="hybridMultilevel"/>
    <w:tmpl w:val="25FEE1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0493BBC"/>
    <w:multiLevelType w:val="hybridMultilevel"/>
    <w:tmpl w:val="E85CA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3126AC9"/>
    <w:multiLevelType w:val="hybridMultilevel"/>
    <w:tmpl w:val="A774AA5E"/>
    <w:lvl w:ilvl="0" w:tplc="532A05EC">
      <w:start w:val="6"/>
      <w:numFmt w:val="bullet"/>
      <w:lvlText w:val="-"/>
      <w:lvlJc w:val="left"/>
      <w:pPr>
        <w:ind w:left="756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96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916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56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76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16" w:hanging="360"/>
      </w:pPr>
      <w:rPr>
        <w:rFonts w:ascii="Wingdings" w:hAnsi="Wingdings" w:cs="Wingdings" w:hint="default"/>
      </w:rPr>
    </w:lvl>
  </w:abstractNum>
  <w:abstractNum w:abstractNumId="4">
    <w:nsid w:val="379A4C7F"/>
    <w:multiLevelType w:val="hybridMultilevel"/>
    <w:tmpl w:val="5F746444"/>
    <w:lvl w:ilvl="0" w:tplc="E7881072">
      <w:start w:val="1"/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0A22A22"/>
    <w:multiLevelType w:val="hybridMultilevel"/>
    <w:tmpl w:val="1C286E10"/>
    <w:lvl w:ilvl="0" w:tplc="1C2077D0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>
    <w:nsid w:val="6B7D72C9"/>
    <w:multiLevelType w:val="hybridMultilevel"/>
    <w:tmpl w:val="132CF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18B3973"/>
    <w:multiLevelType w:val="hybridMultilevel"/>
    <w:tmpl w:val="734473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E467B0"/>
    <w:rsid w:val="000444BF"/>
    <w:rsid w:val="00063EC5"/>
    <w:rsid w:val="00181A0D"/>
    <w:rsid w:val="001B433D"/>
    <w:rsid w:val="00232B82"/>
    <w:rsid w:val="00291567"/>
    <w:rsid w:val="002938DF"/>
    <w:rsid w:val="002F4725"/>
    <w:rsid w:val="00324DF1"/>
    <w:rsid w:val="003A1259"/>
    <w:rsid w:val="003C7D84"/>
    <w:rsid w:val="004266AA"/>
    <w:rsid w:val="00475C29"/>
    <w:rsid w:val="004A0E5A"/>
    <w:rsid w:val="004D75D9"/>
    <w:rsid w:val="00501588"/>
    <w:rsid w:val="005B4696"/>
    <w:rsid w:val="005B788D"/>
    <w:rsid w:val="005C59B3"/>
    <w:rsid w:val="00620F8B"/>
    <w:rsid w:val="00646011"/>
    <w:rsid w:val="0065129B"/>
    <w:rsid w:val="006C6DAC"/>
    <w:rsid w:val="00706B63"/>
    <w:rsid w:val="00771440"/>
    <w:rsid w:val="00777CFF"/>
    <w:rsid w:val="007A0C40"/>
    <w:rsid w:val="00801DD7"/>
    <w:rsid w:val="0085055F"/>
    <w:rsid w:val="008714AD"/>
    <w:rsid w:val="009069C1"/>
    <w:rsid w:val="00940F6E"/>
    <w:rsid w:val="00943149"/>
    <w:rsid w:val="009E4347"/>
    <w:rsid w:val="00AB261E"/>
    <w:rsid w:val="00B0087A"/>
    <w:rsid w:val="00B260F8"/>
    <w:rsid w:val="00B2799D"/>
    <w:rsid w:val="00B923D6"/>
    <w:rsid w:val="00BA6A1D"/>
    <w:rsid w:val="00BC669B"/>
    <w:rsid w:val="00BC7F30"/>
    <w:rsid w:val="00BD09EB"/>
    <w:rsid w:val="00C210B7"/>
    <w:rsid w:val="00C36744"/>
    <w:rsid w:val="00D04852"/>
    <w:rsid w:val="00D52E23"/>
    <w:rsid w:val="00D7221F"/>
    <w:rsid w:val="00E467B0"/>
    <w:rsid w:val="00E96D99"/>
    <w:rsid w:val="00EB11B0"/>
    <w:rsid w:val="00ED7E7E"/>
    <w:rsid w:val="00F429D7"/>
    <w:rsid w:val="00F83079"/>
    <w:rsid w:val="00FA2B2E"/>
    <w:rsid w:val="00FC7F1E"/>
    <w:rsid w:val="00FF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7B0"/>
    <w:rPr>
      <w:rFonts w:ascii="Times New Roman" w:eastAsia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E467B0"/>
    <w:pPr>
      <w:ind w:left="720"/>
    </w:pPr>
    <w:rPr>
      <w:sz w:val="24"/>
      <w:szCs w:val="24"/>
    </w:rPr>
  </w:style>
  <w:style w:type="table" w:styleId="Grilledutableau">
    <w:name w:val="Table Grid"/>
    <w:basedOn w:val="TableauNormal"/>
    <w:uiPriority w:val="99"/>
    <w:rsid w:val="00E467B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649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Manou</cp:lastModifiedBy>
  <cp:revision>2</cp:revision>
  <cp:lastPrinted>2012-05-24T09:44:00Z</cp:lastPrinted>
  <dcterms:created xsi:type="dcterms:W3CDTF">2013-01-29T11:51:00Z</dcterms:created>
  <dcterms:modified xsi:type="dcterms:W3CDTF">2013-01-29T11:51:00Z</dcterms:modified>
</cp:coreProperties>
</file>