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0FE88C" w14:textId="684EA7E1" w:rsidR="009B4384" w:rsidRPr="00581250" w:rsidRDefault="005A5089">
      <w:pPr>
        <w:rPr>
          <w:rFonts w:ascii="Arial" w:hAnsi="Arial" w:cs="Arial"/>
          <w:b/>
          <w:bCs/>
          <w:sz w:val="24"/>
        </w:rPr>
      </w:pPr>
      <w:bookmarkStart w:id="0" w:name="_Hlk123209038"/>
      <w:r w:rsidRPr="00581250">
        <w:rPr>
          <w:rFonts w:ascii="Arial" w:hAnsi="Arial" w:cs="Arial"/>
          <w:b/>
          <w:bCs/>
          <w:sz w:val="24"/>
        </w:rPr>
        <w:t>Présentation de la po</w:t>
      </w:r>
      <w:bookmarkStart w:id="1" w:name="_GoBack"/>
      <w:bookmarkEnd w:id="1"/>
      <w:r w:rsidRPr="00581250">
        <w:rPr>
          <w:rFonts w:ascii="Arial" w:hAnsi="Arial" w:cs="Arial"/>
          <w:b/>
          <w:bCs/>
          <w:sz w:val="24"/>
        </w:rPr>
        <w:t>mpe doseuse Milton Roy</w:t>
      </w:r>
      <w:r w:rsidR="00464987" w:rsidRPr="00581250">
        <w:rPr>
          <w:rFonts w:ascii="Arial" w:hAnsi="Arial" w:cs="Arial"/>
          <w:b/>
          <w:bCs/>
          <w:sz w:val="24"/>
        </w:rPr>
        <w:t>®</w:t>
      </w:r>
      <w:r w:rsidRPr="00581250">
        <w:rPr>
          <w:rFonts w:ascii="Arial" w:hAnsi="Arial" w:cs="Arial"/>
          <w:b/>
          <w:bCs/>
          <w:sz w:val="24"/>
        </w:rPr>
        <w:t xml:space="preserve"> </w:t>
      </w:r>
      <w:proofErr w:type="spellStart"/>
      <w:r w:rsidR="00464987" w:rsidRPr="00581250">
        <w:rPr>
          <w:rFonts w:ascii="Arial" w:hAnsi="Arial" w:cs="Arial"/>
          <w:b/>
          <w:bCs/>
          <w:sz w:val="24"/>
        </w:rPr>
        <w:t>Primeroyal</w:t>
      </w:r>
      <w:proofErr w:type="spellEnd"/>
      <w:r w:rsidR="00464987" w:rsidRPr="00581250">
        <w:rPr>
          <w:rFonts w:ascii="Arial" w:hAnsi="Arial" w:cs="Arial"/>
          <w:b/>
          <w:bCs/>
          <w:sz w:val="24"/>
        </w:rPr>
        <w:t xml:space="preserve"> </w:t>
      </w:r>
      <w:r w:rsidR="00485E23" w:rsidRPr="00581250">
        <w:rPr>
          <w:rFonts w:ascii="Arial" w:hAnsi="Arial" w:cs="Arial"/>
          <w:b/>
          <w:bCs/>
          <w:sz w:val="24"/>
        </w:rPr>
        <w:t>P</w:t>
      </w:r>
      <w:r w:rsidR="00464987" w:rsidRPr="00581250">
        <w:rPr>
          <w:rFonts w:ascii="Arial" w:hAnsi="Arial" w:cs="Arial"/>
          <w:b/>
          <w:bCs/>
          <w:sz w:val="24"/>
        </w:rPr>
        <w:t>H</w:t>
      </w:r>
    </w:p>
    <w:p w14:paraId="65BEB76D" w14:textId="0A716B2A" w:rsidR="005A5089" w:rsidRPr="00464987" w:rsidRDefault="005A5089" w:rsidP="005A5089">
      <w:pPr>
        <w:jc w:val="both"/>
        <w:rPr>
          <w:rFonts w:ascii="Arial" w:hAnsi="Arial" w:cs="Arial"/>
          <w:color w:val="06080C"/>
          <w:shd w:val="clear" w:color="auto" w:fill="FFFFFF"/>
        </w:rPr>
      </w:pPr>
      <w:r w:rsidRPr="00464987">
        <w:rPr>
          <w:rFonts w:ascii="Arial" w:hAnsi="Arial" w:cs="Arial"/>
          <w:color w:val="06080C"/>
          <w:shd w:val="clear" w:color="auto" w:fill="FFFFFF"/>
        </w:rPr>
        <w:t xml:space="preserve">Les pompes doseuses </w:t>
      </w:r>
      <w:proofErr w:type="spellStart"/>
      <w:r w:rsidRPr="00464987">
        <w:rPr>
          <w:rFonts w:ascii="Arial" w:hAnsi="Arial" w:cs="Arial"/>
          <w:color w:val="06080C"/>
          <w:shd w:val="clear" w:color="auto" w:fill="FFFFFF"/>
        </w:rPr>
        <w:t>Primeroyal</w:t>
      </w:r>
      <w:proofErr w:type="spellEnd"/>
      <w:r w:rsidRPr="00464987">
        <w:rPr>
          <w:rFonts w:ascii="Arial" w:hAnsi="Arial" w:cs="Arial"/>
          <w:color w:val="06080C"/>
          <w:shd w:val="clear" w:color="auto" w:fill="FFFFFF"/>
        </w:rPr>
        <w:t xml:space="preserve"> Milton Roy</w:t>
      </w:r>
      <w:r w:rsidR="00464987">
        <w:rPr>
          <w:rFonts w:ascii="Arial" w:hAnsi="Arial" w:cs="Arial"/>
          <w:color w:val="06080C"/>
          <w:shd w:val="clear" w:color="auto" w:fill="FFFFFF"/>
        </w:rPr>
        <w:t>®</w:t>
      </w:r>
      <w:r w:rsidRPr="00464987">
        <w:rPr>
          <w:rFonts w:ascii="Arial" w:hAnsi="Arial" w:cs="Arial"/>
          <w:color w:val="06080C"/>
          <w:shd w:val="clear" w:color="auto" w:fill="FFFFFF"/>
        </w:rPr>
        <w:t xml:space="preserve"> sont des pompes volumétriques à débit variable de grande précision. Ainsi, le débit de ces pompes dépend de la cylindrée réglable du mécanisme à piston et de la </w:t>
      </w:r>
      <w:r w:rsidR="00485E23">
        <w:rPr>
          <w:rFonts w:ascii="Arial" w:hAnsi="Arial" w:cs="Arial"/>
          <w:color w:val="06080C"/>
          <w:shd w:val="clear" w:color="auto" w:fill="FFFFFF"/>
        </w:rPr>
        <w:t>fréquence de rotation du moteur.</w:t>
      </w:r>
    </w:p>
    <w:p w14:paraId="1DF49E30" w14:textId="61D9B231" w:rsidR="005A5089" w:rsidRPr="00464987" w:rsidRDefault="005A5089" w:rsidP="005A5089">
      <w:pPr>
        <w:jc w:val="both"/>
        <w:rPr>
          <w:rFonts w:ascii="Arial" w:hAnsi="Arial" w:cs="Arial"/>
          <w:color w:val="06080C"/>
          <w:shd w:val="clear" w:color="auto" w:fill="FFFFFF"/>
        </w:rPr>
      </w:pPr>
      <w:r w:rsidRPr="00464987">
        <w:rPr>
          <w:rFonts w:ascii="Arial" w:hAnsi="Arial" w:cs="Arial"/>
          <w:color w:val="06080C"/>
          <w:shd w:val="clear" w:color="auto" w:fill="FFFFFF"/>
        </w:rPr>
        <w:t xml:space="preserve">Les pompes doseuses </w:t>
      </w:r>
      <w:proofErr w:type="spellStart"/>
      <w:r w:rsidR="00AE3D63">
        <w:rPr>
          <w:rFonts w:ascii="Arial" w:hAnsi="Arial" w:cs="Arial"/>
          <w:color w:val="06080C"/>
          <w:shd w:val="clear" w:color="auto" w:fill="FFFFFF"/>
        </w:rPr>
        <w:t>Primeroyal</w:t>
      </w:r>
      <w:proofErr w:type="spellEnd"/>
      <w:r w:rsidRPr="00464987">
        <w:rPr>
          <w:rFonts w:ascii="Arial" w:hAnsi="Arial" w:cs="Arial"/>
          <w:color w:val="06080C"/>
          <w:shd w:val="clear" w:color="auto" w:fill="FFFFFF"/>
        </w:rPr>
        <w:t xml:space="preserve">® sont des pompes polyvalentes et fiables qui injectent des produits chimiques de manière uniforme et précise. La conception éprouvée des pompes permet un contrôle précis du débit de la pompe avec une précision de +/- 1 % en fonctionnement normal stabilisé comprise entre 10 et 100 % du débit nominal. Elles sont dotées d'un système d'entraînement par bielle et excentrique variable qui permet de modifier la course en repositionnant l'axe de l'arbre mâle dans l'excentrique femelle. Le modèle PH offre plusieurs </w:t>
      </w:r>
      <w:r w:rsidR="00485E23">
        <w:rPr>
          <w:rFonts w:ascii="Arial" w:hAnsi="Arial" w:cs="Arial"/>
          <w:color w:val="06080C"/>
          <w:shd w:val="clear" w:color="auto" w:fill="FFFFFF"/>
        </w:rPr>
        <w:t>montages possibles.</w:t>
      </w:r>
    </w:p>
    <w:p w14:paraId="28A1EDE7" w14:textId="6BC53A12" w:rsidR="000B5444" w:rsidRDefault="000B5444" w:rsidP="00581250">
      <w:pPr>
        <w:jc w:val="center"/>
        <w:rPr>
          <w:rFonts w:ascii="Arial" w:hAnsi="Arial" w:cs="Arial"/>
          <w:sz w:val="24"/>
          <w:szCs w:val="24"/>
        </w:rPr>
      </w:pPr>
      <w:r>
        <w:rPr>
          <w:noProof/>
          <w:lang w:eastAsia="fr-FR"/>
        </w:rPr>
        <w:drawing>
          <wp:inline distT="0" distB="0" distL="0" distR="0" wp14:anchorId="60381341" wp14:editId="62477E4D">
            <wp:extent cx="2867025" cy="36957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67025" cy="3695700"/>
                    </a:xfrm>
                    <a:prstGeom prst="rect">
                      <a:avLst/>
                    </a:prstGeom>
                  </pic:spPr>
                </pic:pic>
              </a:graphicData>
            </a:graphic>
          </wp:inline>
        </w:drawing>
      </w:r>
    </w:p>
    <w:p w14:paraId="0851A62D" w14:textId="61419CB8" w:rsidR="000B5444" w:rsidRPr="00464987" w:rsidRDefault="000B5444" w:rsidP="005A5089">
      <w:pPr>
        <w:jc w:val="both"/>
        <w:rPr>
          <w:rFonts w:ascii="Arial" w:hAnsi="Arial" w:cs="Arial"/>
          <w:b/>
          <w:bCs/>
        </w:rPr>
      </w:pPr>
      <w:r w:rsidRPr="00464987">
        <w:rPr>
          <w:rFonts w:ascii="Arial" w:hAnsi="Arial" w:cs="Arial"/>
          <w:b/>
          <w:bCs/>
        </w:rPr>
        <w:t>Avantages :</w:t>
      </w:r>
    </w:p>
    <w:p w14:paraId="50A58A15" w14:textId="2A7079D5" w:rsidR="000B5444" w:rsidRPr="00464987" w:rsidRDefault="00581250" w:rsidP="00B6371F">
      <w:pPr>
        <w:numPr>
          <w:ilvl w:val="0"/>
          <w:numId w:val="1"/>
        </w:numPr>
        <w:shd w:val="clear" w:color="auto" w:fill="FFFFFF"/>
        <w:spacing w:before="100" w:beforeAutospacing="1" w:after="100" w:afterAutospacing="1" w:line="240" w:lineRule="auto"/>
        <w:jc w:val="both"/>
        <w:rPr>
          <w:rFonts w:ascii="Arial" w:eastAsia="Times New Roman" w:hAnsi="Arial" w:cs="Arial"/>
          <w:color w:val="33475B"/>
          <w:lang w:eastAsia="fr-FR"/>
        </w:rPr>
      </w:pPr>
      <w:proofErr w:type="gramStart"/>
      <w:r>
        <w:rPr>
          <w:rFonts w:ascii="Arial" w:eastAsia="Times New Roman" w:hAnsi="Arial" w:cs="Arial"/>
          <w:color w:val="33475B"/>
          <w:lang w:eastAsia="fr-FR"/>
        </w:rPr>
        <w:t>c</w:t>
      </w:r>
      <w:r w:rsidR="000B5444" w:rsidRPr="00464987">
        <w:rPr>
          <w:rFonts w:ascii="Arial" w:eastAsia="Times New Roman" w:hAnsi="Arial" w:cs="Arial"/>
          <w:color w:val="33475B"/>
          <w:lang w:eastAsia="fr-FR"/>
        </w:rPr>
        <w:t>onforme</w:t>
      </w:r>
      <w:proofErr w:type="gramEnd"/>
      <w:r w:rsidR="000B5444" w:rsidRPr="00464987">
        <w:rPr>
          <w:rFonts w:ascii="Arial" w:eastAsia="Times New Roman" w:hAnsi="Arial" w:cs="Arial"/>
          <w:color w:val="33475B"/>
          <w:lang w:eastAsia="fr-FR"/>
        </w:rPr>
        <w:t xml:space="preserve"> aux normes API 675</w:t>
      </w:r>
      <w:r>
        <w:rPr>
          <w:rFonts w:ascii="Arial" w:eastAsia="Times New Roman" w:hAnsi="Arial" w:cs="Arial"/>
          <w:color w:val="33475B"/>
          <w:lang w:eastAsia="fr-FR"/>
        </w:rPr>
        <w:t> ;</w:t>
      </w:r>
    </w:p>
    <w:p w14:paraId="79AF1B52" w14:textId="249A5363" w:rsidR="000B5444" w:rsidRPr="00464987" w:rsidRDefault="00581250" w:rsidP="00B6371F">
      <w:pPr>
        <w:numPr>
          <w:ilvl w:val="0"/>
          <w:numId w:val="1"/>
        </w:numPr>
        <w:shd w:val="clear" w:color="auto" w:fill="FFFFFF"/>
        <w:spacing w:before="100" w:beforeAutospacing="1" w:after="100" w:afterAutospacing="1" w:line="240" w:lineRule="auto"/>
        <w:jc w:val="both"/>
        <w:rPr>
          <w:rFonts w:ascii="Arial" w:eastAsia="Times New Roman" w:hAnsi="Arial" w:cs="Arial"/>
          <w:color w:val="33475B"/>
          <w:lang w:eastAsia="fr-FR"/>
        </w:rPr>
      </w:pPr>
      <w:proofErr w:type="gramStart"/>
      <w:r>
        <w:rPr>
          <w:rFonts w:ascii="Arial" w:eastAsia="Times New Roman" w:hAnsi="Arial" w:cs="Arial"/>
          <w:color w:val="33475B"/>
          <w:lang w:eastAsia="fr-FR"/>
        </w:rPr>
        <w:t>a</w:t>
      </w:r>
      <w:r w:rsidR="000B5444" w:rsidRPr="00464987">
        <w:rPr>
          <w:rFonts w:ascii="Arial" w:eastAsia="Times New Roman" w:hAnsi="Arial" w:cs="Arial"/>
          <w:color w:val="33475B"/>
          <w:lang w:eastAsia="fr-FR"/>
        </w:rPr>
        <w:t>daptabilité</w:t>
      </w:r>
      <w:proofErr w:type="gramEnd"/>
      <w:r w:rsidR="000B5444" w:rsidRPr="00464987">
        <w:rPr>
          <w:rFonts w:ascii="Arial" w:eastAsia="Times New Roman" w:hAnsi="Arial" w:cs="Arial"/>
          <w:color w:val="33475B"/>
          <w:lang w:eastAsia="fr-FR"/>
        </w:rPr>
        <w:t xml:space="preserve"> et précision : le débit est réglable en fonctionnement et à l'arrêt (réglage micrométrique de la course, dix (10) tours représentant de 0 à 100 % de la course, avec une échelle graduée en %)</w:t>
      </w:r>
      <w:r>
        <w:rPr>
          <w:rFonts w:ascii="Arial" w:eastAsia="Times New Roman" w:hAnsi="Arial" w:cs="Arial"/>
          <w:color w:val="33475B"/>
          <w:lang w:eastAsia="fr-FR"/>
        </w:rPr>
        <w:t> ;</w:t>
      </w:r>
    </w:p>
    <w:p w14:paraId="4DB814DF" w14:textId="40AE5306" w:rsidR="000B5444" w:rsidRPr="00464987" w:rsidRDefault="00581250" w:rsidP="00B6371F">
      <w:pPr>
        <w:numPr>
          <w:ilvl w:val="0"/>
          <w:numId w:val="1"/>
        </w:numPr>
        <w:shd w:val="clear" w:color="auto" w:fill="FFFFFF"/>
        <w:spacing w:before="100" w:beforeAutospacing="1" w:after="100" w:afterAutospacing="1" w:line="240" w:lineRule="auto"/>
        <w:jc w:val="both"/>
        <w:rPr>
          <w:rFonts w:ascii="Arial" w:eastAsia="Times New Roman" w:hAnsi="Arial" w:cs="Arial"/>
          <w:color w:val="33475B"/>
          <w:lang w:eastAsia="fr-FR"/>
        </w:rPr>
      </w:pPr>
      <w:proofErr w:type="gramStart"/>
      <w:r>
        <w:rPr>
          <w:rFonts w:ascii="Arial" w:eastAsia="Times New Roman" w:hAnsi="Arial" w:cs="Arial"/>
          <w:color w:val="33475B"/>
          <w:lang w:eastAsia="fr-FR"/>
        </w:rPr>
        <w:t>c</w:t>
      </w:r>
      <w:r w:rsidR="000B5444" w:rsidRPr="00464987">
        <w:rPr>
          <w:rFonts w:ascii="Arial" w:eastAsia="Times New Roman" w:hAnsi="Arial" w:cs="Arial"/>
          <w:color w:val="33475B"/>
          <w:lang w:eastAsia="fr-FR"/>
        </w:rPr>
        <w:t>ontraintes</w:t>
      </w:r>
      <w:proofErr w:type="gramEnd"/>
      <w:r w:rsidR="000B5444" w:rsidRPr="00464987">
        <w:rPr>
          <w:rFonts w:ascii="Arial" w:eastAsia="Times New Roman" w:hAnsi="Arial" w:cs="Arial"/>
          <w:color w:val="33475B"/>
          <w:lang w:eastAsia="fr-FR"/>
        </w:rPr>
        <w:t xml:space="preserve"> d'espace : encombrement et poids minimisés, disponible en configuration moteur vertical ou horizontal</w:t>
      </w:r>
      <w:r>
        <w:rPr>
          <w:rFonts w:ascii="Arial" w:eastAsia="Times New Roman" w:hAnsi="Arial" w:cs="Arial"/>
          <w:color w:val="33475B"/>
          <w:lang w:eastAsia="fr-FR"/>
        </w:rPr>
        <w:t> ;</w:t>
      </w:r>
    </w:p>
    <w:p w14:paraId="2A05810F" w14:textId="3F17C8CE" w:rsidR="000B5444" w:rsidRPr="00464987" w:rsidRDefault="00581250" w:rsidP="00B6371F">
      <w:pPr>
        <w:numPr>
          <w:ilvl w:val="0"/>
          <w:numId w:val="1"/>
        </w:numPr>
        <w:shd w:val="clear" w:color="auto" w:fill="FFFFFF"/>
        <w:spacing w:before="100" w:beforeAutospacing="1" w:after="100" w:afterAutospacing="1" w:line="240" w:lineRule="auto"/>
        <w:jc w:val="both"/>
        <w:rPr>
          <w:rFonts w:ascii="Arial" w:eastAsia="Times New Roman" w:hAnsi="Arial" w:cs="Arial"/>
          <w:color w:val="33475B"/>
          <w:lang w:eastAsia="fr-FR"/>
        </w:rPr>
      </w:pPr>
      <w:proofErr w:type="gramStart"/>
      <w:r>
        <w:rPr>
          <w:rFonts w:ascii="Arial" w:eastAsia="Times New Roman" w:hAnsi="Arial" w:cs="Arial"/>
          <w:color w:val="33475B"/>
          <w:lang w:eastAsia="fr-FR"/>
        </w:rPr>
        <w:t>c</w:t>
      </w:r>
      <w:r w:rsidR="000B5444" w:rsidRPr="00464987">
        <w:rPr>
          <w:rFonts w:ascii="Arial" w:eastAsia="Times New Roman" w:hAnsi="Arial" w:cs="Arial"/>
          <w:color w:val="33475B"/>
          <w:lang w:eastAsia="fr-FR"/>
        </w:rPr>
        <w:t>onvient</w:t>
      </w:r>
      <w:proofErr w:type="gramEnd"/>
      <w:r w:rsidR="000B5444" w:rsidRPr="00464987">
        <w:rPr>
          <w:rFonts w:ascii="Arial" w:eastAsia="Times New Roman" w:hAnsi="Arial" w:cs="Arial"/>
          <w:color w:val="33475B"/>
          <w:lang w:eastAsia="fr-FR"/>
        </w:rPr>
        <w:t xml:space="preserve"> à la plupart des fluides utilisés dans les procédés industriels : nombreuses cadences pour un dosage précis</w:t>
      </w:r>
      <w:r>
        <w:rPr>
          <w:rFonts w:ascii="Arial" w:eastAsia="Times New Roman" w:hAnsi="Arial" w:cs="Arial"/>
          <w:color w:val="33475B"/>
          <w:lang w:eastAsia="fr-FR"/>
        </w:rPr>
        <w:t> ;</w:t>
      </w:r>
    </w:p>
    <w:p w14:paraId="3034F251" w14:textId="3E032F7F" w:rsidR="000B5444" w:rsidRPr="00464987" w:rsidRDefault="00581250" w:rsidP="00B6371F">
      <w:pPr>
        <w:numPr>
          <w:ilvl w:val="0"/>
          <w:numId w:val="1"/>
        </w:numPr>
        <w:shd w:val="clear" w:color="auto" w:fill="FFFFFF"/>
        <w:spacing w:before="100" w:beforeAutospacing="1" w:after="100" w:afterAutospacing="1" w:line="240" w:lineRule="auto"/>
        <w:jc w:val="both"/>
        <w:rPr>
          <w:rFonts w:ascii="Arial" w:eastAsia="Times New Roman" w:hAnsi="Arial" w:cs="Arial"/>
          <w:color w:val="33475B"/>
          <w:lang w:eastAsia="fr-FR"/>
        </w:rPr>
      </w:pPr>
      <w:proofErr w:type="gramStart"/>
      <w:r>
        <w:rPr>
          <w:rFonts w:ascii="Arial" w:eastAsia="Times New Roman" w:hAnsi="Arial" w:cs="Arial"/>
          <w:color w:val="33475B"/>
          <w:lang w:eastAsia="fr-FR"/>
        </w:rPr>
        <w:t>c</w:t>
      </w:r>
      <w:r w:rsidR="000B5444" w:rsidRPr="00464987">
        <w:rPr>
          <w:rFonts w:ascii="Arial" w:eastAsia="Times New Roman" w:hAnsi="Arial" w:cs="Arial"/>
          <w:color w:val="33475B"/>
          <w:lang w:eastAsia="fr-FR"/>
        </w:rPr>
        <w:t>onception</w:t>
      </w:r>
      <w:proofErr w:type="gramEnd"/>
      <w:r w:rsidR="000B5444" w:rsidRPr="00464987">
        <w:rPr>
          <w:rFonts w:ascii="Arial" w:eastAsia="Times New Roman" w:hAnsi="Arial" w:cs="Arial"/>
          <w:color w:val="33475B"/>
          <w:lang w:eastAsia="fr-FR"/>
        </w:rPr>
        <w:t xml:space="preserve"> modulaire pour répondre précisément à vos besoins : plusieurs options pour les têtes doseuses, les clapets anti-retour, les types de raccordement et le contrôle du débit</w:t>
      </w:r>
      <w:r>
        <w:rPr>
          <w:rFonts w:ascii="Arial" w:eastAsia="Times New Roman" w:hAnsi="Arial" w:cs="Arial"/>
          <w:color w:val="33475B"/>
          <w:lang w:eastAsia="fr-FR"/>
        </w:rPr>
        <w:t> ;</w:t>
      </w:r>
    </w:p>
    <w:p w14:paraId="56359CA5" w14:textId="59F7A39C" w:rsidR="00581250" w:rsidRDefault="00581250" w:rsidP="00EA3CE9">
      <w:pPr>
        <w:numPr>
          <w:ilvl w:val="0"/>
          <w:numId w:val="1"/>
        </w:numPr>
        <w:shd w:val="clear" w:color="auto" w:fill="FFFFFF"/>
        <w:spacing w:before="100" w:beforeAutospacing="1" w:after="100" w:afterAutospacing="1" w:line="240" w:lineRule="auto"/>
        <w:jc w:val="both"/>
        <w:rPr>
          <w:rFonts w:ascii="Arial" w:eastAsia="Times New Roman" w:hAnsi="Arial" w:cs="Arial"/>
          <w:lang w:eastAsia="fr-FR"/>
        </w:rPr>
      </w:pPr>
      <w:proofErr w:type="gramStart"/>
      <w:r w:rsidRPr="00581250">
        <w:rPr>
          <w:rFonts w:ascii="Arial" w:eastAsia="Times New Roman" w:hAnsi="Arial" w:cs="Arial"/>
          <w:color w:val="33475B"/>
          <w:lang w:eastAsia="fr-FR"/>
        </w:rPr>
        <w:t>l</w:t>
      </w:r>
      <w:r w:rsidR="000B5444" w:rsidRPr="00581250">
        <w:rPr>
          <w:rFonts w:ascii="Arial" w:eastAsia="Times New Roman" w:hAnsi="Arial" w:cs="Arial"/>
          <w:color w:val="33475B"/>
          <w:lang w:eastAsia="fr-FR"/>
        </w:rPr>
        <w:t>ongue</w:t>
      </w:r>
      <w:proofErr w:type="gramEnd"/>
      <w:r w:rsidR="000B5444" w:rsidRPr="00581250">
        <w:rPr>
          <w:rFonts w:ascii="Arial" w:eastAsia="Times New Roman" w:hAnsi="Arial" w:cs="Arial"/>
          <w:color w:val="33475B"/>
          <w:lang w:eastAsia="fr-FR"/>
        </w:rPr>
        <w:t xml:space="preserve"> durée de vie : matériaux de haute qualité conçus pour une construction robuste et éprouvée, lubrification par bain d'huile pour assurer la fiabilité dans le cadre d'un fonctionnement continu</w:t>
      </w:r>
      <w:r w:rsidRPr="00581250">
        <w:rPr>
          <w:rFonts w:ascii="Arial" w:eastAsia="Times New Roman" w:hAnsi="Arial" w:cs="Arial"/>
          <w:color w:val="33475B"/>
          <w:lang w:eastAsia="fr-FR"/>
        </w:rPr>
        <w:t> ;</w:t>
      </w:r>
    </w:p>
    <w:p w14:paraId="0C4C8F69" w14:textId="77777777" w:rsidR="00581250" w:rsidRPr="00581250" w:rsidRDefault="00581250" w:rsidP="00581250">
      <w:pPr>
        <w:rPr>
          <w:rFonts w:ascii="Arial" w:eastAsia="Times New Roman" w:hAnsi="Arial" w:cs="Arial"/>
          <w:lang w:eastAsia="fr-FR"/>
        </w:rPr>
      </w:pPr>
    </w:p>
    <w:p w14:paraId="6FD1404C" w14:textId="72755224" w:rsidR="000B5444" w:rsidRPr="00581250" w:rsidRDefault="00581250" w:rsidP="00EA3CE9">
      <w:pPr>
        <w:numPr>
          <w:ilvl w:val="0"/>
          <w:numId w:val="1"/>
        </w:numPr>
        <w:shd w:val="clear" w:color="auto" w:fill="FFFFFF"/>
        <w:spacing w:before="100" w:beforeAutospacing="1" w:after="100" w:afterAutospacing="1" w:line="240" w:lineRule="auto"/>
        <w:jc w:val="both"/>
        <w:rPr>
          <w:rFonts w:ascii="Arial" w:eastAsia="Times New Roman" w:hAnsi="Arial" w:cs="Arial"/>
          <w:lang w:eastAsia="fr-FR"/>
        </w:rPr>
      </w:pPr>
      <w:proofErr w:type="gramStart"/>
      <w:r>
        <w:rPr>
          <w:rFonts w:ascii="Arial" w:eastAsia="Times New Roman" w:hAnsi="Arial" w:cs="Arial"/>
          <w:color w:val="33475B"/>
          <w:lang w:eastAsia="fr-FR"/>
        </w:rPr>
        <w:t>s</w:t>
      </w:r>
      <w:r w:rsidR="000B5444" w:rsidRPr="00581250">
        <w:rPr>
          <w:rFonts w:ascii="Arial" w:eastAsia="Times New Roman" w:hAnsi="Arial" w:cs="Arial"/>
          <w:lang w:eastAsia="fr-FR"/>
        </w:rPr>
        <w:t>écurité</w:t>
      </w:r>
      <w:proofErr w:type="gramEnd"/>
      <w:r w:rsidR="000B5444" w:rsidRPr="00581250">
        <w:rPr>
          <w:rFonts w:ascii="Arial" w:eastAsia="Times New Roman" w:hAnsi="Arial" w:cs="Arial"/>
          <w:lang w:eastAsia="fr-FR"/>
        </w:rPr>
        <w:t xml:space="preserve"> : têtes doseuses à membrane haute performance qui résistent aux fuites. La durée de vie des doseurs est supérieure à </w:t>
      </w:r>
      <w:r>
        <w:rPr>
          <w:rFonts w:ascii="Arial" w:eastAsia="Times New Roman" w:hAnsi="Arial" w:cs="Arial"/>
          <w:lang w:eastAsia="fr-FR"/>
        </w:rPr>
        <w:t>20 000 heures de fonctionnement ;</w:t>
      </w:r>
    </w:p>
    <w:p w14:paraId="499C908E" w14:textId="61B3BB9D" w:rsidR="000B5444" w:rsidRPr="006B6E84" w:rsidRDefault="00581250" w:rsidP="00B6371F">
      <w:pPr>
        <w:numPr>
          <w:ilvl w:val="0"/>
          <w:numId w:val="1"/>
        </w:numPr>
        <w:shd w:val="clear" w:color="auto" w:fill="FFFFFF"/>
        <w:spacing w:before="100" w:beforeAutospacing="1" w:after="100" w:afterAutospacing="1" w:line="240" w:lineRule="auto"/>
        <w:jc w:val="both"/>
        <w:rPr>
          <w:rFonts w:ascii="Arial" w:eastAsia="Times New Roman" w:hAnsi="Arial" w:cs="Arial"/>
          <w:lang w:eastAsia="fr-FR"/>
        </w:rPr>
      </w:pPr>
      <w:proofErr w:type="gramStart"/>
      <w:r>
        <w:rPr>
          <w:rFonts w:ascii="Arial" w:eastAsia="Times New Roman" w:hAnsi="Arial" w:cs="Arial"/>
          <w:lang w:eastAsia="fr-FR"/>
        </w:rPr>
        <w:t>f</w:t>
      </w:r>
      <w:r w:rsidR="000B5444" w:rsidRPr="006B6E84">
        <w:rPr>
          <w:rFonts w:ascii="Arial" w:eastAsia="Times New Roman" w:hAnsi="Arial" w:cs="Arial"/>
          <w:lang w:eastAsia="fr-FR"/>
        </w:rPr>
        <w:t>onctionne</w:t>
      </w:r>
      <w:proofErr w:type="gramEnd"/>
      <w:r w:rsidR="000B5444" w:rsidRPr="006B6E84">
        <w:rPr>
          <w:rFonts w:ascii="Arial" w:eastAsia="Times New Roman" w:hAnsi="Arial" w:cs="Arial"/>
          <w:lang w:eastAsia="fr-FR"/>
        </w:rPr>
        <w:t xml:space="preserve"> dans les conditions les plus extrêmes : configurations spécifiques pour fonctionner en conditions salines/offshore, désertiques, ou des environnements basse température</w:t>
      </w:r>
      <w:r>
        <w:rPr>
          <w:rFonts w:ascii="Arial" w:eastAsia="Times New Roman" w:hAnsi="Arial" w:cs="Arial"/>
          <w:lang w:eastAsia="fr-FR"/>
        </w:rPr>
        <w:t> ;</w:t>
      </w:r>
    </w:p>
    <w:p w14:paraId="166275A0" w14:textId="74A5ADBB" w:rsidR="000B5444" w:rsidRPr="006B6E84" w:rsidRDefault="00581250" w:rsidP="00B6371F">
      <w:pPr>
        <w:numPr>
          <w:ilvl w:val="0"/>
          <w:numId w:val="1"/>
        </w:numPr>
        <w:shd w:val="clear" w:color="auto" w:fill="FFFFFF"/>
        <w:spacing w:before="100" w:beforeAutospacing="1" w:after="100" w:afterAutospacing="1" w:line="240" w:lineRule="auto"/>
        <w:jc w:val="both"/>
        <w:rPr>
          <w:rFonts w:ascii="Arial" w:eastAsia="Times New Roman" w:hAnsi="Arial" w:cs="Arial"/>
          <w:lang w:eastAsia="fr-FR"/>
        </w:rPr>
      </w:pPr>
      <w:proofErr w:type="gramStart"/>
      <w:r>
        <w:rPr>
          <w:rFonts w:ascii="Arial" w:eastAsia="Times New Roman" w:hAnsi="Arial" w:cs="Arial"/>
          <w:lang w:eastAsia="fr-FR"/>
        </w:rPr>
        <w:t>c</w:t>
      </w:r>
      <w:r w:rsidR="000B5444" w:rsidRPr="006B6E84">
        <w:rPr>
          <w:rFonts w:ascii="Arial" w:eastAsia="Times New Roman" w:hAnsi="Arial" w:cs="Arial"/>
          <w:lang w:eastAsia="fr-FR"/>
        </w:rPr>
        <w:t>onception</w:t>
      </w:r>
      <w:proofErr w:type="gramEnd"/>
      <w:r w:rsidR="000B5444" w:rsidRPr="006B6E84">
        <w:rPr>
          <w:rFonts w:ascii="Arial" w:eastAsia="Times New Roman" w:hAnsi="Arial" w:cs="Arial"/>
          <w:lang w:eastAsia="fr-FR"/>
        </w:rPr>
        <w:t xml:space="preserve"> globale : conforme aux principales certifications et normes internationales: ATEX, NACE, SASO, Union douanière, etc.</w:t>
      </w:r>
      <w:r>
        <w:rPr>
          <w:rFonts w:ascii="Arial" w:eastAsia="Times New Roman" w:hAnsi="Arial" w:cs="Arial"/>
          <w:lang w:eastAsia="fr-FR"/>
        </w:rPr>
        <w:t> ;</w:t>
      </w:r>
    </w:p>
    <w:p w14:paraId="5A472D07" w14:textId="379018CF" w:rsidR="000B5444" w:rsidRPr="006B6E84" w:rsidRDefault="00581250" w:rsidP="00B6371F">
      <w:pPr>
        <w:numPr>
          <w:ilvl w:val="0"/>
          <w:numId w:val="1"/>
        </w:numPr>
        <w:shd w:val="clear" w:color="auto" w:fill="FFFFFF"/>
        <w:spacing w:before="100" w:beforeAutospacing="1" w:after="100" w:afterAutospacing="1" w:line="240" w:lineRule="auto"/>
        <w:jc w:val="both"/>
        <w:rPr>
          <w:rFonts w:ascii="Arial" w:eastAsia="Times New Roman" w:hAnsi="Arial" w:cs="Arial"/>
          <w:lang w:eastAsia="fr-FR"/>
        </w:rPr>
      </w:pPr>
      <w:proofErr w:type="gramStart"/>
      <w:r>
        <w:rPr>
          <w:rFonts w:ascii="Arial" w:eastAsia="Times New Roman" w:hAnsi="Arial" w:cs="Arial"/>
          <w:lang w:eastAsia="fr-FR"/>
        </w:rPr>
        <w:t>p</w:t>
      </w:r>
      <w:r w:rsidR="000B5444" w:rsidRPr="006B6E84">
        <w:rPr>
          <w:rFonts w:ascii="Arial" w:eastAsia="Times New Roman" w:hAnsi="Arial" w:cs="Arial"/>
          <w:lang w:eastAsia="fr-FR"/>
        </w:rPr>
        <w:t>rotection</w:t>
      </w:r>
      <w:proofErr w:type="gramEnd"/>
      <w:r w:rsidR="000B5444" w:rsidRPr="006B6E84">
        <w:rPr>
          <w:rFonts w:ascii="Arial" w:eastAsia="Times New Roman" w:hAnsi="Arial" w:cs="Arial"/>
          <w:lang w:eastAsia="fr-FR"/>
        </w:rPr>
        <w:t xml:space="preserve"> contre les surpressions : soupape de sécurité intégrée pour protéger la pompe sur les têtes doseuses à membrane</w:t>
      </w:r>
      <w:r>
        <w:rPr>
          <w:rFonts w:ascii="Arial" w:eastAsia="Times New Roman" w:hAnsi="Arial" w:cs="Arial"/>
          <w:lang w:eastAsia="fr-FR"/>
        </w:rPr>
        <w:t>.</w:t>
      </w:r>
    </w:p>
    <w:p w14:paraId="2D2637DB" w14:textId="0E5CB27A" w:rsidR="000B5444" w:rsidRPr="00464987" w:rsidRDefault="00B6371F" w:rsidP="005A5089">
      <w:pPr>
        <w:jc w:val="both"/>
        <w:rPr>
          <w:rFonts w:ascii="Arial" w:hAnsi="Arial" w:cs="Arial"/>
        </w:rPr>
      </w:pPr>
      <w:r w:rsidRPr="00464987">
        <w:rPr>
          <w:rFonts w:ascii="Arial" w:hAnsi="Arial" w:cs="Arial"/>
        </w:rPr>
        <w:t xml:space="preserve">Le modèle de pompe </w:t>
      </w:r>
      <w:proofErr w:type="spellStart"/>
      <w:r w:rsidRPr="00464987">
        <w:rPr>
          <w:rFonts w:ascii="Arial" w:hAnsi="Arial" w:cs="Arial"/>
        </w:rPr>
        <w:t>Primeroyal</w:t>
      </w:r>
      <w:proofErr w:type="spellEnd"/>
      <w:r w:rsidRPr="00464987">
        <w:rPr>
          <w:rFonts w:ascii="Arial" w:hAnsi="Arial" w:cs="Arial"/>
        </w:rPr>
        <w:t xml:space="preserve"> H ® est un modèle à moteur vertical. Le piston, dont la course est variable par un système à excentrique, appelé </w:t>
      </w:r>
      <w:r w:rsidRPr="00682F5D">
        <w:rPr>
          <w:rFonts w:ascii="Arial" w:hAnsi="Arial" w:cs="Arial"/>
          <w:b/>
          <w:bCs/>
          <w:i/>
          <w:iCs/>
        </w:rPr>
        <w:t>coulisseau</w:t>
      </w:r>
      <w:r w:rsidRPr="00464987">
        <w:rPr>
          <w:rFonts w:ascii="Arial" w:hAnsi="Arial" w:cs="Arial"/>
        </w:rPr>
        <w:t xml:space="preserve"> dans la nomenclature, n’est pas en contact avec le liquide pompé. Il transmet le mouvement mécanique de pompage à un diaphragme </w:t>
      </w:r>
      <w:r w:rsidR="006B6E84">
        <w:rPr>
          <w:rFonts w:ascii="Arial" w:hAnsi="Arial" w:cs="Arial"/>
        </w:rPr>
        <w:t xml:space="preserve">(membrane) </w:t>
      </w:r>
      <w:r w:rsidRPr="00464987">
        <w:rPr>
          <w:rFonts w:ascii="Arial" w:hAnsi="Arial" w:cs="Arial"/>
        </w:rPr>
        <w:t>contenu dans un dispositif hydraulique appelé doseur (non étudié)</w:t>
      </w:r>
      <w:r w:rsidR="00581250">
        <w:rPr>
          <w:rFonts w:ascii="Arial" w:hAnsi="Arial" w:cs="Arial"/>
        </w:rPr>
        <w:t>.</w:t>
      </w:r>
    </w:p>
    <w:p w14:paraId="54BB733E" w14:textId="293427AB" w:rsidR="000B5444" w:rsidRDefault="00682F5D" w:rsidP="005A5089">
      <w:pPr>
        <w:jc w:val="both"/>
        <w:rPr>
          <w:rFonts w:ascii="Arial" w:hAnsi="Arial" w:cs="Arial"/>
          <w:sz w:val="24"/>
          <w:szCs w:val="24"/>
        </w:rPr>
      </w:pPr>
      <w:r w:rsidRPr="006B0804">
        <w:rPr>
          <w:rFonts w:ascii="Arial" w:eastAsia="Times New Roman" w:hAnsi="Arial" w:cs="Arial"/>
          <w:b/>
          <w:bCs/>
          <w:i/>
          <w:noProof/>
          <w:kern w:val="32"/>
          <w:sz w:val="28"/>
          <w:szCs w:val="28"/>
          <w:lang w:eastAsia="fr-FR"/>
        </w:rPr>
        <w:drawing>
          <wp:inline distT="0" distB="0" distL="0" distR="0" wp14:anchorId="1CFFB70A" wp14:editId="0437A30C">
            <wp:extent cx="5760720" cy="3313727"/>
            <wp:effectExtent l="0" t="0" r="0" b="1270"/>
            <wp:docPr id="6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313727"/>
                    </a:xfrm>
                    <a:prstGeom prst="rect">
                      <a:avLst/>
                    </a:prstGeom>
                  </pic:spPr>
                </pic:pic>
              </a:graphicData>
            </a:graphic>
          </wp:inline>
        </w:drawing>
      </w:r>
    </w:p>
    <w:bookmarkEnd w:id="0"/>
    <w:p w14:paraId="3925BD9A" w14:textId="50E29BF8" w:rsidR="00B6371F" w:rsidRDefault="00682F5D" w:rsidP="005A5089">
      <w:pPr>
        <w:jc w:val="both"/>
        <w:rPr>
          <w:rFonts w:ascii="Arial" w:hAnsi="Arial" w:cs="Arial"/>
          <w:sz w:val="24"/>
          <w:szCs w:val="24"/>
        </w:rPr>
      </w:pPr>
      <w:r>
        <w:rPr>
          <w:rFonts w:ascii="Arial" w:eastAsia="Times New Roman" w:hAnsi="Arial" w:cs="Arial"/>
          <w:b/>
          <w:bCs/>
          <w:i/>
          <w:noProof/>
          <w:kern w:val="32"/>
          <w:sz w:val="28"/>
          <w:szCs w:val="28"/>
          <w:lang w:eastAsia="fr-FR"/>
        </w:rPr>
        <mc:AlternateContent>
          <mc:Choice Requires="wps">
            <w:drawing>
              <wp:anchor distT="0" distB="0" distL="114300" distR="114300" simplePos="0" relativeHeight="251661312" behindDoc="0" locked="0" layoutInCell="1" allowOverlap="1" wp14:anchorId="73812FFE" wp14:editId="0633AF18">
                <wp:simplePos x="0" y="0"/>
                <wp:positionH relativeFrom="column">
                  <wp:posOffset>2473614</wp:posOffset>
                </wp:positionH>
                <wp:positionV relativeFrom="paragraph">
                  <wp:posOffset>24014</wp:posOffset>
                </wp:positionV>
                <wp:extent cx="187037" cy="651164"/>
                <wp:effectExtent l="19050" t="0" r="22860" b="34925"/>
                <wp:wrapNone/>
                <wp:docPr id="4" name="Flèche : bas 3"/>
                <wp:cNvGraphicFramePr/>
                <a:graphic xmlns:a="http://schemas.openxmlformats.org/drawingml/2006/main">
                  <a:graphicData uri="http://schemas.microsoft.com/office/word/2010/wordprocessingShape">
                    <wps:wsp>
                      <wps:cNvSpPr/>
                      <wps:spPr>
                        <a:xfrm>
                          <a:off x="0" y="0"/>
                          <a:ext cx="187037" cy="651164"/>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46CEA77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 bas 4" o:spid="_x0000_s1026" type="#_x0000_t67" style="position:absolute;margin-left:194.75pt;margin-top:1.9pt;width:14.75pt;height:51.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NMyXwIAABcFAAAOAAAAZHJzL2Uyb0RvYy54bWysVE1v2zAMvQ/YfxB0X21n6ceCOEXQosOA&#10;og3aDj0rslQbkEWNUuJkv36U7DhFW+wwLAeFEslH6vlR88tda9hWoW/Alrw4yTlTVkLV2JeS/3y6&#10;+XLBmQ/CVsKAVSXfK88vF58/zTs3UxOowVQKGYFYP+tcyesQ3CzLvKxVK/wJOGXJqQFbEWiLL1mF&#10;oiP01mSTPD/LOsDKIUjlPZ1e906+SPhaKxnutfYqMFNy6i2kFdO6jmu2mIvZCwpXN3JoQ/xDF61o&#10;LBUdoa5FEGyDzTuotpEIHnQ4kdBmoHUjVboD3abI39zmsRZOpbsQOd6NNPn/Byvvto9uhURD5/zM&#10;kxlvsdPYxn/qj+0SWfuRLLULTNJhcXGefz3nTJLr7LQozqaRzOyY7NCH7wpaFo2SV9DZJSJ0iSex&#10;vfWhjz/EUfKxh2SFvVGxDWMflGZNRVUnKTvJQ10ZZFtBH1ZIqWwoelctKtUfn+b0G5oaM1KLCTAi&#10;68aYEXsAiNJ7j933OsTHVJXUNSbnf2usTx4zUmWwYUxuGwv4EYChWw2V+/gDST01kaU1VPsVMoRe&#10;297Jm4YIvxU+rASSmEn2NKDhnhZtoCs5DBZnNeDvj85jPGmMvJx1NBwl9782AhVn5ocl9X0rptM4&#10;TWkzPT2f0AZfe9avPXbTXgF9poKeAieTGeODOZgaoX2mOV7GquQSVlLtksuAh81V6IeWXgKplssU&#10;RhPkRLi1j05G8Mhq1NLT7lmgG1QXSK53cBgkMXujuz42ZlpYbgLoJonyyOvAN01fEs7wUsTxfr1P&#10;Ucf3bPEHAAD//wMAUEsDBBQABgAIAAAAIQBQIl7f4AAAAAkBAAAPAAAAZHJzL2Rvd25yZXYueG1s&#10;TI/BTsMwEETvSPyDtUhcEHVCS5WGOBVCKjckaKtW3Nx4iVPidRS7Tfh7tie47WieZmeK5ehaccY+&#10;NJ4UpJMEBFLlTUO1gu1mdZ+BCFGT0a0nVPCDAZbl9VWhc+MH+sDzOtaCQyjkWoGNsculDJVFp8PE&#10;d0jsffne6ciyr6Xp9cDhrpUPSTKXTjfEH6zu8MVi9b0+OQVvx3TzufXJsM/s8X20s93K370qdXsz&#10;Pj+BiDjGPxgu9bk6lNzp4E9kgmgVTLPFI6OXAwT7s3TB2w4MJvMpyLKQ/xeUvwAAAP//AwBQSwEC&#10;LQAUAAYACAAAACEAtoM4kv4AAADhAQAAEwAAAAAAAAAAAAAAAAAAAAAAW0NvbnRlbnRfVHlwZXNd&#10;LnhtbFBLAQItABQABgAIAAAAIQA4/SH/1gAAAJQBAAALAAAAAAAAAAAAAAAAAC8BAABfcmVscy8u&#10;cmVsc1BLAQItABQABgAIAAAAIQCc6NMyXwIAABcFAAAOAAAAAAAAAAAAAAAAAC4CAABkcnMvZTJv&#10;RG9jLnhtbFBLAQItABQABgAIAAAAIQBQIl7f4AAAAAkBAAAPAAAAAAAAAAAAAAAAALkEAABkcnMv&#10;ZG93bnJldi54bWxQSwUGAAAAAAQABADzAAAAxgUAAAAA&#10;" adj="18498" fillcolor="#4472c4 [3204]" strokecolor="#1f3763 [1604]" strokeweight="1pt"/>
            </w:pict>
          </mc:Fallback>
        </mc:AlternateContent>
      </w:r>
      <w:r>
        <w:rPr>
          <w:rFonts w:ascii="Arial" w:eastAsia="Times New Roman" w:hAnsi="Arial" w:cs="Arial"/>
          <w:noProof/>
          <w:szCs w:val="24"/>
          <w:lang w:eastAsia="fr-FR"/>
        </w:rPr>
        <mc:AlternateContent>
          <mc:Choice Requires="wps">
            <w:drawing>
              <wp:anchor distT="0" distB="0" distL="114300" distR="114300" simplePos="0" relativeHeight="251660288" behindDoc="0" locked="0" layoutInCell="1" allowOverlap="1" wp14:anchorId="7B950E1C" wp14:editId="693E3EFC">
                <wp:simplePos x="0" y="0"/>
                <wp:positionH relativeFrom="column">
                  <wp:posOffset>1981951</wp:posOffset>
                </wp:positionH>
                <wp:positionV relativeFrom="paragraph">
                  <wp:posOffset>764829</wp:posOffset>
                </wp:positionV>
                <wp:extent cx="1219200" cy="1717964"/>
                <wp:effectExtent l="0" t="0" r="19050" b="15875"/>
                <wp:wrapNone/>
                <wp:docPr id="3" name="Rectangle : coins arrondis 4"/>
                <wp:cNvGraphicFramePr/>
                <a:graphic xmlns:a="http://schemas.openxmlformats.org/drawingml/2006/main">
                  <a:graphicData uri="http://schemas.microsoft.com/office/word/2010/wordprocessingShape">
                    <wps:wsp>
                      <wps:cNvSpPr/>
                      <wps:spPr>
                        <a:xfrm>
                          <a:off x="0" y="0"/>
                          <a:ext cx="1219200" cy="1717964"/>
                        </a:xfrm>
                        <a:prstGeom prst="round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2D0EA0A5" id="Rectangle : coins arrondis 3" o:spid="_x0000_s1026" style="position:absolute;margin-left:156.05pt;margin-top:60.2pt;width:96pt;height:135.2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yAJhwIAAG8FAAAOAAAAZHJzL2Uyb0RvYy54bWysVEtv2zAMvg/YfxB0Xx0HabsGdYqgRYYB&#10;RVu0HXpWZCk2IIsapcTJfv0o+ZGgK3YYloMimeRH8uPj+mbfGLZT6GuwBc/PJpwpK6Gs7abgP15X&#10;X75y5oOwpTBgVcEPyvObxedP162bqylUYEqFjECsn7eu4FUIbp5lXlaqEf4MnLIk1ICNCPTETVai&#10;aAm9Mdl0MrnIWsDSIUjlPX2964R8kfC1VjI8au1VYKbgFFtIJ6ZzHc9scS3mGxSuqmUfhviHKBpR&#10;W3I6Qt2JINgW6z+gmloieNDhTEKTgda1VCkHyiafvMvmpRJOpVyIHO9Gmvz/g5UPuxf3hERD6/zc&#10;0zVmsdfYxH+Kj+0TWYeRLLUPTNLHfJpfUQU4kyTLL/PLq4tZpDM7mjv04ZuChsVLwRG2tnymkiSm&#10;xO7eh05/0IsuLaxqY1JZjGVtwafnM/ISRR5MXUZpeuBmfWuQ7QRVdrWa0K/3fqJGsRhLIR1zS7dw&#10;MCpiGPusNKtLymbaeYhtp0ZYIaWyIe9ElShV5+381NlgkRJPgBFZU5Qjdg8waHYgA3bHQK8fTVXq&#10;2tG4T/1vxqNF8gw2jMZNbQE/ysxQVr3nTn8gqaMmsrSG8vCEDKGbGe/kqqYy3gsfngTSkFDpafDD&#10;Ix3aAFUK+htnFeCvj75HfepdknLW0tAV3P/cClScme+Wuvoqn83ilKbH7PxySg88laxPJXbb3AJV&#10;P6cV42S6Rv1ghqtGaN5oPyyjVxIJK8l3wWXA4XEbumVAG0aq5TKp0WQ6Ee7ti5MRPLIaO/R1/ybQ&#10;9b0caAweYBhQMX/XzZ1utLSw3AbQdWr1I6893zTVqXH6DRTXxuk7aR335OI3AAAA//8DAFBLAwQU&#10;AAYACAAAACEAEiY0nd4AAAALAQAADwAAAGRycy9kb3ducmV2LnhtbEyPwU7DMAyG70i8Q2Qkbixp&#10;GWUtTSeExMSVMSHtljVeW61xqiZbC0+POcHR/n79/lyuZ9eLC46h86QhWSgQSLW3HTUadh+vdysQ&#10;IRqypveEGr4wwLq6vipNYf1E73jZxkZwCYXCaGhjHAopQ92iM2HhByRmRz86E3kcG2lHM3G562Wq&#10;VCad6YgvtGbAlxbr0/bsNHye/LDZu8c4feNml+R781Znmda3N/PzE4iIc/wLw68+q0PFTgd/JhtE&#10;r+E+SROOMkjVEgQnHtSSNwdGucpBVqX8/0P1AwAA//8DAFBLAQItABQABgAIAAAAIQC2gziS/gAA&#10;AOEBAAATAAAAAAAAAAAAAAAAAAAAAABbQ29udGVudF9UeXBlc10ueG1sUEsBAi0AFAAGAAgAAAAh&#10;ADj9If/WAAAAlAEAAAsAAAAAAAAAAAAAAAAALwEAAF9yZWxzLy5yZWxzUEsBAi0AFAAGAAgAAAAh&#10;AOcbIAmHAgAAbwUAAA4AAAAAAAAAAAAAAAAALgIAAGRycy9lMm9Eb2MueG1sUEsBAi0AFAAGAAgA&#10;AAAhABImNJ3eAAAACwEAAA8AAAAAAAAAAAAAAAAA4QQAAGRycy9kb3ducmV2LnhtbFBLBQYAAAAA&#10;BAAEAPMAAADsBQAAAAA=&#10;" filled="f" strokecolor="red" strokeweight="2pt">
                <v:stroke joinstyle="miter"/>
              </v:roundrect>
            </w:pict>
          </mc:Fallback>
        </mc:AlternateContent>
      </w:r>
      <w:r w:rsidRPr="006B0804">
        <w:rPr>
          <w:rFonts w:ascii="Arial" w:eastAsia="Times New Roman" w:hAnsi="Arial" w:cs="Arial"/>
          <w:noProof/>
          <w:szCs w:val="24"/>
          <w:lang w:eastAsia="fr-FR"/>
        </w:rPr>
        <w:drawing>
          <wp:anchor distT="0" distB="0" distL="114300" distR="114300" simplePos="0" relativeHeight="251659264" behindDoc="1" locked="0" layoutInCell="1" allowOverlap="1" wp14:anchorId="26F96812" wp14:editId="50433433">
            <wp:simplePos x="0" y="0"/>
            <wp:positionH relativeFrom="margin">
              <wp:posOffset>2147455</wp:posOffset>
            </wp:positionH>
            <wp:positionV relativeFrom="paragraph">
              <wp:posOffset>249382</wp:posOffset>
            </wp:positionV>
            <wp:extent cx="2320517" cy="2172651"/>
            <wp:effectExtent l="0" t="0" r="3810" b="0"/>
            <wp:wrapNone/>
            <wp:docPr id="6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20517" cy="2172651"/>
                    </a:xfrm>
                    <a:prstGeom prst="rect">
                      <a:avLst/>
                    </a:prstGeom>
                  </pic:spPr>
                </pic:pic>
              </a:graphicData>
            </a:graphic>
            <wp14:sizeRelH relativeFrom="page">
              <wp14:pctWidth>0</wp14:pctWidth>
            </wp14:sizeRelH>
            <wp14:sizeRelV relativeFrom="page">
              <wp14:pctHeight>0</wp14:pctHeight>
            </wp14:sizeRelV>
          </wp:anchor>
        </w:drawing>
      </w:r>
    </w:p>
    <w:sectPr w:rsidR="00B6371F" w:rsidSect="00581250">
      <w:headerReference w:type="default" r:id="rId10"/>
      <w:footerReference w:type="default" r:id="rId11"/>
      <w:pgSz w:w="11906" w:h="16838"/>
      <w:pgMar w:top="113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57793" w14:textId="77777777" w:rsidR="00136D60" w:rsidRDefault="00136D60" w:rsidP="006A441B">
      <w:pPr>
        <w:spacing w:after="0" w:line="240" w:lineRule="auto"/>
      </w:pPr>
      <w:r>
        <w:separator/>
      </w:r>
    </w:p>
  </w:endnote>
  <w:endnote w:type="continuationSeparator" w:id="0">
    <w:p w14:paraId="39A3FC72" w14:textId="77777777" w:rsidR="00136D60" w:rsidRDefault="00136D60" w:rsidP="006A4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29" w:type="dxa"/>
      <w:jc w:val="center"/>
      <w:tblLook w:val="04A0" w:firstRow="1" w:lastRow="0" w:firstColumn="1" w:lastColumn="0" w:noHBand="0" w:noVBand="1"/>
    </w:tblPr>
    <w:tblGrid>
      <w:gridCol w:w="5522"/>
      <w:gridCol w:w="2686"/>
      <w:gridCol w:w="2021"/>
    </w:tblGrid>
    <w:tr w:rsidR="006A441B" w:rsidRPr="006A441B" w14:paraId="757FB8C7" w14:textId="77777777" w:rsidTr="000A4230">
      <w:trPr>
        <w:jc w:val="center"/>
      </w:trPr>
      <w:tc>
        <w:tcPr>
          <w:tcW w:w="5522" w:type="dxa"/>
          <w:vAlign w:val="center"/>
        </w:tcPr>
        <w:p w14:paraId="6755AA3F" w14:textId="77777777" w:rsidR="006A441B" w:rsidRPr="006A441B" w:rsidRDefault="006A441B" w:rsidP="006A441B">
          <w:pPr>
            <w:tabs>
              <w:tab w:val="center" w:pos="4536"/>
              <w:tab w:val="right" w:pos="9072"/>
            </w:tabs>
            <w:jc w:val="center"/>
            <w:rPr>
              <w:rFonts w:ascii="Arial" w:hAnsi="Arial" w:cs="Arial"/>
              <w:sz w:val="22"/>
              <w:szCs w:val="22"/>
            </w:rPr>
          </w:pPr>
          <w:r w:rsidRPr="006A441B">
            <w:rPr>
              <w:rFonts w:ascii="Arial" w:hAnsi="Arial" w:cs="Arial"/>
              <w:sz w:val="22"/>
              <w:szCs w:val="22"/>
            </w:rPr>
            <w:t>BTS CONCEPTION DES PRODUITS INDUSTRIELS</w:t>
          </w:r>
        </w:p>
      </w:tc>
      <w:tc>
        <w:tcPr>
          <w:tcW w:w="2686" w:type="dxa"/>
        </w:tcPr>
        <w:p w14:paraId="5C711EA2" w14:textId="77777777" w:rsidR="006A441B" w:rsidRPr="006A441B" w:rsidRDefault="006A441B" w:rsidP="006A441B">
          <w:pPr>
            <w:tabs>
              <w:tab w:val="center" w:pos="4536"/>
              <w:tab w:val="right" w:pos="9072"/>
            </w:tabs>
            <w:jc w:val="center"/>
            <w:rPr>
              <w:rFonts w:ascii="Arial" w:hAnsi="Arial" w:cs="Arial"/>
              <w:sz w:val="22"/>
              <w:szCs w:val="22"/>
            </w:rPr>
          </w:pPr>
          <w:r w:rsidRPr="006A441B">
            <w:rPr>
              <w:rFonts w:ascii="Arial" w:hAnsi="Arial" w:cs="Arial"/>
              <w:sz w:val="22"/>
              <w:szCs w:val="22"/>
            </w:rPr>
            <w:t>DOSSIER TECHNIQUE</w:t>
          </w:r>
        </w:p>
      </w:tc>
      <w:tc>
        <w:tcPr>
          <w:tcW w:w="2021" w:type="dxa"/>
          <w:vAlign w:val="center"/>
        </w:tcPr>
        <w:p w14:paraId="7AB10E54" w14:textId="542151EE" w:rsidR="006A441B" w:rsidRPr="006A441B" w:rsidRDefault="006A441B" w:rsidP="00581250">
          <w:pPr>
            <w:tabs>
              <w:tab w:val="center" w:pos="4536"/>
              <w:tab w:val="right" w:pos="9072"/>
            </w:tabs>
            <w:jc w:val="center"/>
            <w:rPr>
              <w:rFonts w:ascii="Arial" w:hAnsi="Arial" w:cs="Arial"/>
              <w:sz w:val="22"/>
              <w:szCs w:val="22"/>
            </w:rPr>
          </w:pPr>
          <w:r w:rsidRPr="006A441B">
            <w:rPr>
              <w:rFonts w:ascii="Arial" w:hAnsi="Arial" w:cs="Arial"/>
              <w:sz w:val="22"/>
              <w:szCs w:val="22"/>
            </w:rPr>
            <w:t>SESSION 2</w:t>
          </w:r>
          <w:r w:rsidR="00581250">
            <w:rPr>
              <w:rFonts w:ascii="Arial" w:hAnsi="Arial" w:cs="Arial"/>
              <w:sz w:val="22"/>
              <w:szCs w:val="22"/>
            </w:rPr>
            <w:t>024</w:t>
          </w:r>
        </w:p>
      </w:tc>
    </w:tr>
    <w:tr w:rsidR="006A441B" w:rsidRPr="006A441B" w14:paraId="10125F91" w14:textId="77777777" w:rsidTr="000A4230">
      <w:trPr>
        <w:jc w:val="center"/>
      </w:trPr>
      <w:tc>
        <w:tcPr>
          <w:tcW w:w="5522" w:type="dxa"/>
          <w:vAlign w:val="center"/>
        </w:tcPr>
        <w:p w14:paraId="3FE0ABB2" w14:textId="77777777" w:rsidR="006A441B" w:rsidRPr="006A441B" w:rsidRDefault="006A441B" w:rsidP="006A441B">
          <w:pPr>
            <w:tabs>
              <w:tab w:val="center" w:pos="4536"/>
              <w:tab w:val="right" w:pos="9072"/>
            </w:tabs>
            <w:jc w:val="center"/>
            <w:rPr>
              <w:rFonts w:ascii="Arial" w:hAnsi="Arial" w:cs="Arial"/>
              <w:sz w:val="22"/>
              <w:szCs w:val="22"/>
            </w:rPr>
          </w:pPr>
          <w:r w:rsidRPr="006A441B">
            <w:rPr>
              <w:rFonts w:ascii="Arial" w:hAnsi="Arial" w:cs="Arial"/>
              <w:sz w:val="22"/>
              <w:szCs w:val="22"/>
            </w:rPr>
            <w:t>E4 : Étude préliminaire de produit</w:t>
          </w:r>
        </w:p>
        <w:p w14:paraId="292799D1" w14:textId="77777777" w:rsidR="006A441B" w:rsidRPr="006A441B" w:rsidRDefault="006A441B" w:rsidP="006A441B">
          <w:pPr>
            <w:tabs>
              <w:tab w:val="center" w:pos="4536"/>
              <w:tab w:val="right" w:pos="9072"/>
            </w:tabs>
            <w:jc w:val="center"/>
            <w:rPr>
              <w:rFonts w:ascii="Arial" w:hAnsi="Arial" w:cs="Arial"/>
              <w:sz w:val="22"/>
              <w:szCs w:val="22"/>
            </w:rPr>
          </w:pPr>
          <w:r w:rsidRPr="006A441B">
            <w:rPr>
              <w:rFonts w:ascii="Arial" w:hAnsi="Arial" w:cs="Arial"/>
              <w:sz w:val="22"/>
              <w:szCs w:val="22"/>
            </w:rPr>
            <w:t>U42 : Conception préliminaire</w:t>
          </w:r>
        </w:p>
      </w:tc>
      <w:tc>
        <w:tcPr>
          <w:tcW w:w="2686" w:type="dxa"/>
          <w:vAlign w:val="center"/>
        </w:tcPr>
        <w:p w14:paraId="6F44ABB5" w14:textId="67D0A0F9" w:rsidR="006A441B" w:rsidRPr="006A441B" w:rsidRDefault="00581250" w:rsidP="00581250">
          <w:pPr>
            <w:tabs>
              <w:tab w:val="center" w:pos="4536"/>
              <w:tab w:val="right" w:pos="9072"/>
            </w:tabs>
            <w:jc w:val="center"/>
            <w:rPr>
              <w:rFonts w:ascii="Arial" w:hAnsi="Arial" w:cs="Arial"/>
              <w:sz w:val="22"/>
              <w:szCs w:val="22"/>
              <w:highlight w:val="yellow"/>
            </w:rPr>
          </w:pPr>
          <w:r w:rsidRPr="00581250">
            <w:rPr>
              <w:rFonts w:ascii="Arial" w:hAnsi="Arial" w:cs="Arial"/>
              <w:sz w:val="22"/>
              <w:szCs w:val="22"/>
            </w:rPr>
            <w:t>24CP42CP</w:t>
          </w:r>
        </w:p>
      </w:tc>
      <w:tc>
        <w:tcPr>
          <w:tcW w:w="2021" w:type="dxa"/>
          <w:vAlign w:val="center"/>
        </w:tcPr>
        <w:p w14:paraId="387C3537" w14:textId="726D1FBD" w:rsidR="006A441B" w:rsidRPr="006A441B" w:rsidRDefault="006A441B" w:rsidP="006A441B">
          <w:pPr>
            <w:tabs>
              <w:tab w:val="center" w:pos="4536"/>
              <w:tab w:val="right" w:pos="9072"/>
            </w:tabs>
            <w:jc w:val="center"/>
            <w:rPr>
              <w:rFonts w:ascii="Arial" w:hAnsi="Arial" w:cs="Arial"/>
              <w:sz w:val="22"/>
              <w:szCs w:val="22"/>
            </w:rPr>
          </w:pPr>
          <w:r w:rsidRPr="006A441B">
            <w:rPr>
              <w:rFonts w:ascii="Arial" w:hAnsi="Arial" w:cs="Arial"/>
              <w:sz w:val="22"/>
              <w:szCs w:val="22"/>
            </w:rPr>
            <w:t xml:space="preserve">Page </w:t>
          </w:r>
          <w:sdt>
            <w:sdtPr>
              <w:rPr>
                <w:rFonts w:ascii="Arial" w:hAnsi="Arial" w:cs="Arial"/>
              </w:rPr>
              <w:id w:val="54365181"/>
              <w:docPartObj>
                <w:docPartGallery w:val="Page Numbers (Bottom of Page)"/>
                <w:docPartUnique/>
              </w:docPartObj>
            </w:sdtPr>
            <w:sdtEndPr/>
            <w:sdtContent>
              <w:r w:rsidRPr="006A441B">
                <w:rPr>
                  <w:rFonts w:ascii="Arial" w:hAnsi="Arial" w:cs="Arial"/>
                </w:rPr>
                <w:fldChar w:fldCharType="begin"/>
              </w:r>
              <w:r w:rsidRPr="006A441B">
                <w:rPr>
                  <w:rFonts w:ascii="Arial" w:hAnsi="Arial" w:cs="Arial"/>
                  <w:sz w:val="22"/>
                  <w:szCs w:val="22"/>
                </w:rPr>
                <w:instrText>PAGE   \* MERGEFORMAT</w:instrText>
              </w:r>
              <w:r w:rsidRPr="006A441B">
                <w:rPr>
                  <w:rFonts w:ascii="Arial" w:hAnsi="Arial" w:cs="Arial"/>
                </w:rPr>
                <w:fldChar w:fldCharType="separate"/>
              </w:r>
              <w:r w:rsidR="00AE3D63">
                <w:rPr>
                  <w:rFonts w:ascii="Arial" w:hAnsi="Arial" w:cs="Arial"/>
                  <w:noProof/>
                  <w:sz w:val="22"/>
                  <w:szCs w:val="22"/>
                </w:rPr>
                <w:t>1</w:t>
              </w:r>
              <w:r w:rsidRPr="006A441B">
                <w:rPr>
                  <w:rFonts w:ascii="Arial" w:hAnsi="Arial" w:cs="Arial"/>
                </w:rPr>
                <w:fldChar w:fldCharType="end"/>
              </w:r>
            </w:sdtContent>
          </w:sdt>
          <w:r w:rsidRPr="006A441B">
            <w:rPr>
              <w:rFonts w:ascii="Arial" w:hAnsi="Arial" w:cs="Arial"/>
              <w:sz w:val="22"/>
              <w:szCs w:val="22"/>
            </w:rPr>
            <w:t>/</w:t>
          </w:r>
          <w:r w:rsidR="00E71813">
            <w:rPr>
              <w:rFonts w:ascii="Arial" w:hAnsi="Arial" w:cs="Arial"/>
              <w:sz w:val="22"/>
              <w:szCs w:val="22"/>
            </w:rPr>
            <w:t>1</w:t>
          </w:r>
          <w:r w:rsidR="00C8677D">
            <w:rPr>
              <w:rFonts w:ascii="Arial" w:hAnsi="Arial" w:cs="Arial"/>
              <w:sz w:val="22"/>
              <w:szCs w:val="22"/>
            </w:rPr>
            <w:t>5</w:t>
          </w:r>
        </w:p>
      </w:tc>
    </w:tr>
  </w:tbl>
  <w:p w14:paraId="77C634EC" w14:textId="77777777" w:rsidR="006A441B" w:rsidRDefault="006A44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8C7A5" w14:textId="77777777" w:rsidR="00136D60" w:rsidRDefault="00136D60" w:rsidP="006A441B">
      <w:pPr>
        <w:spacing w:after="0" w:line="240" w:lineRule="auto"/>
      </w:pPr>
      <w:r>
        <w:separator/>
      </w:r>
    </w:p>
  </w:footnote>
  <w:footnote w:type="continuationSeparator" w:id="0">
    <w:p w14:paraId="29B55A9A" w14:textId="77777777" w:rsidR="00136D60" w:rsidRDefault="00136D60" w:rsidP="006A4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B378F" w14:textId="10C516FB" w:rsidR="006A441B" w:rsidRPr="00581250" w:rsidRDefault="006A441B" w:rsidP="00581250">
    <w:pPr>
      <w:tabs>
        <w:tab w:val="right" w:pos="20975"/>
      </w:tabs>
      <w:spacing w:after="0" w:line="240" w:lineRule="auto"/>
      <w:jc w:val="both"/>
      <w:rPr>
        <w:rFonts w:ascii="Arial" w:eastAsia="Times New Roman" w:hAnsi="Arial" w:cs="Arial"/>
        <w:b/>
        <w:szCs w:val="24"/>
        <w:u w:val="single"/>
        <w:lang w:eastAsia="fr-FR"/>
      </w:rPr>
    </w:pPr>
    <w:r>
      <w:rPr>
        <w:rFonts w:ascii="Arial" w:eastAsia="Times New Roman" w:hAnsi="Arial" w:cs="Arial"/>
        <w:szCs w:val="24"/>
        <w:u w:val="single"/>
        <w:lang w:eastAsia="fr-FR"/>
      </w:rPr>
      <w:t>Pompe MILTON ROY</w:t>
    </w:r>
    <w:r w:rsidRPr="006A441B">
      <w:rPr>
        <w:rFonts w:ascii="Arial" w:eastAsia="Times New Roman" w:hAnsi="Arial" w:cs="Arial"/>
        <w:szCs w:val="24"/>
        <w:u w:val="single"/>
        <w:lang w:eastAsia="fr-FR"/>
      </w:rPr>
      <w:t>®</w:t>
    </w:r>
    <w:r>
      <w:rPr>
        <w:rFonts w:ascii="Arial" w:eastAsia="Times New Roman" w:hAnsi="Arial" w:cs="Arial"/>
        <w:szCs w:val="24"/>
        <w:u w:val="single"/>
        <w:lang w:eastAsia="fr-FR"/>
      </w:rPr>
      <w:t xml:space="preserve"> </w:t>
    </w:r>
    <w:proofErr w:type="spellStart"/>
    <w:r>
      <w:rPr>
        <w:rFonts w:ascii="Arial" w:eastAsia="Times New Roman" w:hAnsi="Arial" w:cs="Arial"/>
        <w:szCs w:val="24"/>
        <w:u w:val="single"/>
        <w:lang w:eastAsia="fr-FR"/>
      </w:rPr>
      <w:t>Primeroyal</w:t>
    </w:r>
    <w:proofErr w:type="spellEnd"/>
    <w:r>
      <w:rPr>
        <w:rFonts w:ascii="Arial" w:eastAsia="Times New Roman" w:hAnsi="Arial" w:cs="Arial"/>
        <w:szCs w:val="24"/>
        <w:u w:val="single"/>
        <w:lang w:eastAsia="fr-FR"/>
      </w:rPr>
      <w:t xml:space="preserve"> H</w:t>
    </w:r>
    <w:r w:rsidRPr="006A441B">
      <w:rPr>
        <w:rFonts w:ascii="Arial" w:eastAsia="Times New Roman" w:hAnsi="Arial" w:cs="Arial"/>
        <w:szCs w:val="24"/>
        <w:u w:val="single"/>
        <w:lang w:eastAsia="fr-FR"/>
      </w:rPr>
      <w:t xml:space="preserve"> </w:t>
    </w:r>
    <w:r w:rsidRPr="006A441B">
      <w:rPr>
        <w:rFonts w:ascii="Arial" w:eastAsia="Times New Roman" w:hAnsi="Arial" w:cs="Arial"/>
        <w:szCs w:val="24"/>
        <w:u w:val="single"/>
        <w:lang w:eastAsia="fr-FR"/>
      </w:rPr>
      <w:tab/>
    </w:r>
    <w:r w:rsidRPr="00581250">
      <w:rPr>
        <w:rFonts w:ascii="Arial" w:eastAsia="Times New Roman" w:hAnsi="Arial" w:cs="Arial"/>
        <w:b/>
        <w:szCs w:val="24"/>
        <w:u w:val="single"/>
        <w:lang w:eastAsia="fr-FR"/>
      </w:rPr>
      <w:t xml:space="preserve">DT </w:t>
    </w:r>
    <w:sdt>
      <w:sdtPr>
        <w:rPr>
          <w:rFonts w:ascii="Arial" w:eastAsia="Times New Roman" w:hAnsi="Arial" w:cs="Arial"/>
          <w:b/>
          <w:szCs w:val="24"/>
          <w:u w:val="single"/>
          <w:lang w:eastAsia="fr-FR"/>
        </w:rPr>
        <w:id w:val="-114294245"/>
        <w:docPartObj>
          <w:docPartGallery w:val="Page Numbers (Bottom of Page)"/>
          <w:docPartUnique/>
        </w:docPartObj>
      </w:sdtPr>
      <w:sdtEndPr/>
      <w:sdtContent>
        <w:r w:rsidRPr="00581250">
          <w:rPr>
            <w:rFonts w:ascii="Arial" w:eastAsia="Times New Roman" w:hAnsi="Arial" w:cs="Arial"/>
            <w:b/>
            <w:szCs w:val="24"/>
            <w:u w:val="single"/>
            <w:lang w:eastAsia="fr-FR"/>
          </w:rPr>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726B1A"/>
    <w:multiLevelType w:val="multilevel"/>
    <w:tmpl w:val="FFBEA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089"/>
    <w:rsid w:val="000148AC"/>
    <w:rsid w:val="00026108"/>
    <w:rsid w:val="000B5444"/>
    <w:rsid w:val="00136D60"/>
    <w:rsid w:val="0018315B"/>
    <w:rsid w:val="001A057E"/>
    <w:rsid w:val="003357EB"/>
    <w:rsid w:val="00464987"/>
    <w:rsid w:val="00485E23"/>
    <w:rsid w:val="004A1CF3"/>
    <w:rsid w:val="00514561"/>
    <w:rsid w:val="00581250"/>
    <w:rsid w:val="005A5089"/>
    <w:rsid w:val="005C430A"/>
    <w:rsid w:val="005E25AF"/>
    <w:rsid w:val="00682F5D"/>
    <w:rsid w:val="006A441B"/>
    <w:rsid w:val="006B6E84"/>
    <w:rsid w:val="009B4384"/>
    <w:rsid w:val="00AE3D63"/>
    <w:rsid w:val="00B6371F"/>
    <w:rsid w:val="00B927FD"/>
    <w:rsid w:val="00C24C8F"/>
    <w:rsid w:val="00C8677D"/>
    <w:rsid w:val="00E364DB"/>
    <w:rsid w:val="00E71813"/>
    <w:rsid w:val="00F659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3B537E"/>
  <w15:chartTrackingRefBased/>
  <w15:docId w15:val="{867210F0-0A84-4B91-9BEE-62315402B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A441B"/>
    <w:pPr>
      <w:tabs>
        <w:tab w:val="center" w:pos="4536"/>
        <w:tab w:val="right" w:pos="9072"/>
      </w:tabs>
      <w:spacing w:after="0" w:line="240" w:lineRule="auto"/>
    </w:pPr>
  </w:style>
  <w:style w:type="character" w:customStyle="1" w:styleId="En-tteCar">
    <w:name w:val="En-tête Car"/>
    <w:basedOn w:val="Policepardfaut"/>
    <w:link w:val="En-tte"/>
    <w:uiPriority w:val="99"/>
    <w:rsid w:val="006A441B"/>
  </w:style>
  <w:style w:type="paragraph" w:styleId="Pieddepage">
    <w:name w:val="footer"/>
    <w:basedOn w:val="Normal"/>
    <w:link w:val="PieddepageCar"/>
    <w:uiPriority w:val="99"/>
    <w:unhideWhenUsed/>
    <w:rsid w:val="006A441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A441B"/>
  </w:style>
  <w:style w:type="table" w:styleId="Grilledutableau">
    <w:name w:val="Table Grid"/>
    <w:basedOn w:val="TableauNormal"/>
    <w:uiPriority w:val="59"/>
    <w:rsid w:val="006A441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91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413</Words>
  <Characters>2277</Characters>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2023-05-12T09:09:00Z</dcterms:created>
  <dcterms:modified xsi:type="dcterms:W3CDTF">2023-12-16T16:51:00Z</dcterms:modified>
</cp:coreProperties>
</file>