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07BA" w14:textId="5802393B" w:rsidR="00F5717E" w:rsidRPr="008666A4" w:rsidRDefault="00F5717E" w:rsidP="00F5717E">
      <w:pPr>
        <w:jc w:val="center"/>
        <w:rPr>
          <w:rFonts w:ascii="Arial" w:hAnsi="Arial" w:cs="Arial"/>
          <w:sz w:val="24"/>
          <w:szCs w:val="24"/>
        </w:rPr>
      </w:pPr>
      <w:r w:rsidRPr="008666A4">
        <w:rPr>
          <w:rFonts w:ascii="Arial" w:hAnsi="Arial" w:cs="Arial"/>
          <w:sz w:val="24"/>
          <w:szCs w:val="24"/>
        </w:rPr>
        <w:t>PROPOSITION DE CORRECTION</w:t>
      </w:r>
    </w:p>
    <w:p w14:paraId="7294F830" w14:textId="685A6692" w:rsidR="00F5717E" w:rsidRPr="008666A4" w:rsidRDefault="00F5717E" w:rsidP="00F5717E">
      <w:pPr>
        <w:jc w:val="center"/>
        <w:rPr>
          <w:rFonts w:ascii="Arial" w:hAnsi="Arial" w:cs="Arial"/>
          <w:sz w:val="24"/>
          <w:szCs w:val="24"/>
        </w:rPr>
      </w:pPr>
      <w:r w:rsidRPr="008666A4">
        <w:rPr>
          <w:rFonts w:ascii="Arial" w:hAnsi="Arial" w:cs="Arial"/>
          <w:sz w:val="24"/>
          <w:szCs w:val="24"/>
        </w:rPr>
        <w:t>Sujet U4</w:t>
      </w:r>
      <w:bookmarkStart w:id="0" w:name="_GoBack"/>
      <w:bookmarkEnd w:id="0"/>
    </w:p>
    <w:p w14:paraId="41CEB655" w14:textId="659C8783" w:rsidR="00F5717E" w:rsidRPr="008666A4" w:rsidRDefault="00F5717E" w:rsidP="00F5717E">
      <w:pPr>
        <w:jc w:val="center"/>
        <w:rPr>
          <w:rFonts w:ascii="Arial" w:hAnsi="Arial" w:cs="Arial"/>
          <w:sz w:val="24"/>
          <w:szCs w:val="24"/>
        </w:rPr>
      </w:pPr>
      <w:r w:rsidRPr="008666A4">
        <w:rPr>
          <w:rFonts w:ascii="Arial" w:hAnsi="Arial" w:cs="Arial"/>
          <w:sz w:val="24"/>
          <w:szCs w:val="24"/>
        </w:rPr>
        <w:t>DESSERT LACT</w:t>
      </w:r>
      <w:r w:rsidR="008666A4" w:rsidRPr="008666A4">
        <w:rPr>
          <w:rFonts w:ascii="Arial" w:hAnsi="Arial" w:cs="Arial"/>
          <w:sz w:val="24"/>
          <w:szCs w:val="24"/>
        </w:rPr>
        <w:t>É</w:t>
      </w:r>
    </w:p>
    <w:p w14:paraId="67A42F65" w14:textId="77777777" w:rsidR="00F5717E" w:rsidRDefault="00F5717E" w:rsidP="00F5717E">
      <w:pPr>
        <w:jc w:val="center"/>
      </w:pPr>
    </w:p>
    <w:p w14:paraId="6E5E02AB" w14:textId="27C2E90A" w:rsidR="00D103F8" w:rsidRDefault="005D5EC5">
      <w:r>
        <w:t>PARTIE N°1 :</w:t>
      </w:r>
      <w:r w:rsidR="00F5717E">
        <w:t xml:space="preserve"> </w:t>
      </w:r>
      <w:r w:rsidR="00052EE7">
        <w:t>22</w:t>
      </w:r>
      <w:r w:rsidR="00F5717E">
        <w:t xml:space="preserve"> points</w:t>
      </w:r>
    </w:p>
    <w:tbl>
      <w:tblPr>
        <w:tblStyle w:val="Grilledutableau"/>
        <w:tblW w:w="0" w:type="auto"/>
        <w:tblLook w:val="04A0" w:firstRow="1" w:lastRow="0" w:firstColumn="1" w:lastColumn="0" w:noHBand="0" w:noVBand="1"/>
      </w:tblPr>
      <w:tblGrid>
        <w:gridCol w:w="1140"/>
        <w:gridCol w:w="6226"/>
        <w:gridCol w:w="1696"/>
      </w:tblGrid>
      <w:tr w:rsidR="005D5EC5" w14:paraId="282DFD2D" w14:textId="77777777" w:rsidTr="009620CA">
        <w:tc>
          <w:tcPr>
            <w:tcW w:w="1140" w:type="dxa"/>
          </w:tcPr>
          <w:p w14:paraId="6657B216" w14:textId="21B35E84" w:rsidR="005D5EC5" w:rsidRDefault="005D5EC5">
            <w:r>
              <w:t>Question :</w:t>
            </w:r>
          </w:p>
        </w:tc>
        <w:tc>
          <w:tcPr>
            <w:tcW w:w="6226" w:type="dxa"/>
          </w:tcPr>
          <w:p w14:paraId="306A4FF3" w14:textId="77777777" w:rsidR="005D5EC5" w:rsidRDefault="005D5EC5">
            <w:r>
              <w:t>Proposition de réponse :</w:t>
            </w:r>
          </w:p>
          <w:p w14:paraId="4D57EEA0" w14:textId="6D750601" w:rsidR="005D5EC5" w:rsidRDefault="005D5EC5"/>
        </w:tc>
        <w:tc>
          <w:tcPr>
            <w:tcW w:w="1696" w:type="dxa"/>
          </w:tcPr>
          <w:p w14:paraId="416A5AE6" w14:textId="5E243AE1" w:rsidR="005D5EC5" w:rsidRDefault="005D5EC5">
            <w:r>
              <w:t>Proposition de barème</w:t>
            </w:r>
          </w:p>
        </w:tc>
      </w:tr>
      <w:tr w:rsidR="005D5EC5" w14:paraId="08D69DBA" w14:textId="77777777" w:rsidTr="009620CA">
        <w:tc>
          <w:tcPr>
            <w:tcW w:w="1140" w:type="dxa"/>
          </w:tcPr>
          <w:p w14:paraId="54F19446" w14:textId="4303D94B" w:rsidR="005D5EC5" w:rsidRDefault="005D5EC5">
            <w:r>
              <w:t>Q</w:t>
            </w:r>
            <w:r w:rsidR="00226F3B">
              <w:t>1</w:t>
            </w:r>
          </w:p>
        </w:tc>
        <w:tc>
          <w:tcPr>
            <w:tcW w:w="6226" w:type="dxa"/>
          </w:tcPr>
          <w:p w14:paraId="73605C02" w14:textId="77777777" w:rsidR="005D5EC5" w:rsidRDefault="005D5EC5">
            <w:r>
              <w:t xml:space="preserve">Le QQOQCCP est un outil utilisé pour </w:t>
            </w:r>
            <w:r>
              <w:rPr>
                <w:u w:val="single"/>
              </w:rPr>
              <w:t>clarifier un problème</w:t>
            </w:r>
            <w:r>
              <w:t xml:space="preserve"> à travers </w:t>
            </w:r>
            <w:r w:rsidRPr="005D5EC5">
              <w:rPr>
                <w:u w:val="single"/>
              </w:rPr>
              <w:t>un guide de questions</w:t>
            </w:r>
            <w:r>
              <w:rPr>
                <w:u w:val="single"/>
              </w:rPr>
              <w:t xml:space="preserve"> : </w:t>
            </w:r>
            <w:r>
              <w:t>qui, quoi, où, quand, comment, combien, pourquoi</w:t>
            </w:r>
            <w:r w:rsidR="009620CA">
              <w:t>.</w:t>
            </w:r>
          </w:p>
          <w:p w14:paraId="52D2204A" w14:textId="36D06285" w:rsidR="009620CA" w:rsidRPr="005D5EC5" w:rsidRDefault="009620CA"/>
        </w:tc>
        <w:tc>
          <w:tcPr>
            <w:tcW w:w="1696" w:type="dxa"/>
          </w:tcPr>
          <w:p w14:paraId="622D8F12" w14:textId="417E6DC7" w:rsidR="005D5EC5" w:rsidRDefault="00052EE7">
            <w:r>
              <w:t>3</w:t>
            </w:r>
          </w:p>
        </w:tc>
      </w:tr>
      <w:tr w:rsidR="005D5EC5" w14:paraId="55C70C55" w14:textId="77777777" w:rsidTr="009620CA">
        <w:tc>
          <w:tcPr>
            <w:tcW w:w="1140" w:type="dxa"/>
          </w:tcPr>
          <w:p w14:paraId="2C6DA989" w14:textId="6246DBBB" w:rsidR="005D5EC5" w:rsidRDefault="005D5EC5">
            <w:r>
              <w:t>Q</w:t>
            </w:r>
            <w:r w:rsidR="00226F3B">
              <w:t>2</w:t>
            </w:r>
          </w:p>
        </w:tc>
        <w:tc>
          <w:tcPr>
            <w:tcW w:w="6226" w:type="dxa"/>
          </w:tcPr>
          <w:p w14:paraId="46433B3F" w14:textId="77777777" w:rsidR="005D5EC5" w:rsidRDefault="005D5EC5">
            <w:pPr>
              <w:rPr>
                <w:u w:val="single"/>
              </w:rPr>
            </w:pPr>
            <w:r>
              <w:t>La meilleure méthode est d’</w:t>
            </w:r>
            <w:r w:rsidRPr="005D5EC5">
              <w:rPr>
                <w:u w:val="single"/>
              </w:rPr>
              <w:t>organiser une réunion</w:t>
            </w:r>
            <w:r>
              <w:t xml:space="preserve">. Elle permettra de mieux réfléchir aux questions en utilisant la </w:t>
            </w:r>
            <w:r w:rsidRPr="005D5EC5">
              <w:rPr>
                <w:u w:val="single"/>
              </w:rPr>
              <w:t>créativité de tous.</w:t>
            </w:r>
          </w:p>
          <w:p w14:paraId="060DB2C2" w14:textId="52B6B4CF" w:rsidR="009620CA" w:rsidRDefault="009620CA"/>
        </w:tc>
        <w:tc>
          <w:tcPr>
            <w:tcW w:w="1696" w:type="dxa"/>
          </w:tcPr>
          <w:p w14:paraId="568F629D" w14:textId="66B9E54B" w:rsidR="005D5EC5" w:rsidRDefault="00052EE7">
            <w:r>
              <w:t>3</w:t>
            </w:r>
          </w:p>
        </w:tc>
      </w:tr>
      <w:tr w:rsidR="00226F3B" w14:paraId="787680B1" w14:textId="77777777" w:rsidTr="00806CC9">
        <w:tc>
          <w:tcPr>
            <w:tcW w:w="1140" w:type="dxa"/>
          </w:tcPr>
          <w:p w14:paraId="7116FCF1" w14:textId="6C7F04C8" w:rsidR="00226F3B" w:rsidRDefault="00226F3B" w:rsidP="00806CC9">
            <w:r>
              <w:t>Q3</w:t>
            </w:r>
          </w:p>
        </w:tc>
        <w:tc>
          <w:tcPr>
            <w:tcW w:w="6226" w:type="dxa"/>
          </w:tcPr>
          <w:p w14:paraId="19F2AAA8" w14:textId="77777777" w:rsidR="00226F3B" w:rsidRDefault="00226F3B" w:rsidP="00806CC9">
            <w:pPr>
              <w:rPr>
                <w:u w:val="single"/>
              </w:rPr>
            </w:pPr>
            <w:r>
              <w:t xml:space="preserve">La norme ISO 9001 est une norme volontaire pour la mise en place d’un management incluant un système de </w:t>
            </w:r>
            <w:r w:rsidRPr="005D5EC5">
              <w:rPr>
                <w:u w:val="single"/>
              </w:rPr>
              <w:t>gestion de la qualité</w:t>
            </w:r>
            <w:r>
              <w:t xml:space="preserve">. Son objectif est la </w:t>
            </w:r>
            <w:r w:rsidRPr="005D5EC5">
              <w:rPr>
                <w:u w:val="single"/>
              </w:rPr>
              <w:t>satisfaction client.</w:t>
            </w:r>
          </w:p>
          <w:p w14:paraId="0D89A150" w14:textId="77777777" w:rsidR="00226F3B" w:rsidRDefault="00226F3B" w:rsidP="00806CC9"/>
        </w:tc>
        <w:tc>
          <w:tcPr>
            <w:tcW w:w="1696" w:type="dxa"/>
          </w:tcPr>
          <w:p w14:paraId="73FE28F7" w14:textId="4CA9C754" w:rsidR="00226F3B" w:rsidRDefault="00052EE7" w:rsidP="00806CC9">
            <w:r>
              <w:t>3</w:t>
            </w:r>
          </w:p>
        </w:tc>
      </w:tr>
      <w:tr w:rsidR="005D5EC5" w14:paraId="0B1B448E" w14:textId="77777777" w:rsidTr="009620CA">
        <w:tc>
          <w:tcPr>
            <w:tcW w:w="1140" w:type="dxa"/>
          </w:tcPr>
          <w:p w14:paraId="5030F6EA" w14:textId="4CDD7EF1" w:rsidR="005D5EC5" w:rsidRDefault="005D5EC5">
            <w:r>
              <w:t>Q</w:t>
            </w:r>
            <w:r w:rsidR="00226F3B">
              <w:t>4</w:t>
            </w:r>
          </w:p>
        </w:tc>
        <w:tc>
          <w:tcPr>
            <w:tcW w:w="6226" w:type="dxa"/>
          </w:tcPr>
          <w:p w14:paraId="241AC5B6" w14:textId="77777777" w:rsidR="005D5EC5" w:rsidRDefault="005D5EC5">
            <w:r>
              <w:t>Voir document réponse ci-dessous</w:t>
            </w:r>
            <w:r w:rsidR="009620CA">
              <w:t>.</w:t>
            </w:r>
          </w:p>
          <w:p w14:paraId="017D4747" w14:textId="12FD8D19" w:rsidR="009620CA" w:rsidRDefault="009620CA"/>
        </w:tc>
        <w:tc>
          <w:tcPr>
            <w:tcW w:w="1696" w:type="dxa"/>
          </w:tcPr>
          <w:p w14:paraId="3E242138" w14:textId="49E6AAD2" w:rsidR="005D5EC5" w:rsidRDefault="00052EE7">
            <w:r>
              <w:t>10</w:t>
            </w:r>
          </w:p>
        </w:tc>
      </w:tr>
      <w:tr w:rsidR="005D5EC5" w14:paraId="40E4A138" w14:textId="77777777" w:rsidTr="009620CA">
        <w:tc>
          <w:tcPr>
            <w:tcW w:w="1140" w:type="dxa"/>
          </w:tcPr>
          <w:p w14:paraId="3021A70C" w14:textId="25D8F055" w:rsidR="005D5EC5" w:rsidRDefault="005D5EC5">
            <w:r>
              <w:t>Q</w:t>
            </w:r>
            <w:r w:rsidR="00226F3B">
              <w:t>5</w:t>
            </w:r>
          </w:p>
        </w:tc>
        <w:tc>
          <w:tcPr>
            <w:tcW w:w="6226" w:type="dxa"/>
          </w:tcPr>
          <w:p w14:paraId="16123853" w14:textId="6386D747" w:rsidR="005D5EC5" w:rsidRDefault="001D39D4">
            <w:r>
              <w:t>Chacune de ses normes utilise</w:t>
            </w:r>
            <w:r w:rsidR="009620CA">
              <w:t xml:space="preserve"> le </w:t>
            </w:r>
            <w:r w:rsidR="009620CA" w:rsidRPr="0085458F">
              <w:rPr>
                <w:u w:val="single"/>
              </w:rPr>
              <w:t>même schéma</w:t>
            </w:r>
            <w:r w:rsidR="009620CA">
              <w:t>, facilitant aux utilisate</w:t>
            </w:r>
            <w:r>
              <w:t>urs leur mise en place combinée</w:t>
            </w:r>
            <w:r w:rsidR="009620CA">
              <w:t xml:space="preserve"> (DT3). Elle se base sur la </w:t>
            </w:r>
            <w:r w:rsidR="009620CA" w:rsidRPr="0085458F">
              <w:rPr>
                <w:u w:val="single"/>
              </w:rPr>
              <w:t>participation de tous</w:t>
            </w:r>
            <w:r w:rsidR="009620CA">
              <w:t xml:space="preserve"> et dans une logique d’</w:t>
            </w:r>
            <w:r w:rsidR="009620CA" w:rsidRPr="0050205B">
              <w:rPr>
                <w:u w:val="single"/>
              </w:rPr>
              <w:t>amélioration continue</w:t>
            </w:r>
            <w:r w:rsidR="009620CA">
              <w:t xml:space="preserve"> (DR1)</w:t>
            </w:r>
          </w:p>
        </w:tc>
        <w:tc>
          <w:tcPr>
            <w:tcW w:w="1696" w:type="dxa"/>
          </w:tcPr>
          <w:p w14:paraId="54078E22" w14:textId="351D715C" w:rsidR="005D5EC5" w:rsidRDefault="00052EE7">
            <w:r>
              <w:t>3</w:t>
            </w:r>
          </w:p>
        </w:tc>
      </w:tr>
    </w:tbl>
    <w:p w14:paraId="1C05AF3C" w14:textId="77777777" w:rsidR="005D5EC5" w:rsidRDefault="005D5EC5"/>
    <w:p w14:paraId="080A4ECA" w14:textId="515739C1" w:rsidR="005D5EC5" w:rsidRDefault="005D5EC5">
      <w:r>
        <w:t>PARTIE N°2 :</w:t>
      </w:r>
      <w:r w:rsidR="00822BC1">
        <w:t xml:space="preserve"> </w:t>
      </w:r>
      <w:r w:rsidR="00052EE7">
        <w:t xml:space="preserve">32 </w:t>
      </w:r>
      <w:r w:rsidR="00822BC1">
        <w:t>points</w:t>
      </w:r>
    </w:p>
    <w:tbl>
      <w:tblPr>
        <w:tblStyle w:val="Grilledutableau"/>
        <w:tblW w:w="0" w:type="auto"/>
        <w:tblLook w:val="04A0" w:firstRow="1" w:lastRow="0" w:firstColumn="1" w:lastColumn="0" w:noHBand="0" w:noVBand="1"/>
      </w:tblPr>
      <w:tblGrid>
        <w:gridCol w:w="1140"/>
        <w:gridCol w:w="6227"/>
        <w:gridCol w:w="1695"/>
      </w:tblGrid>
      <w:tr w:rsidR="005221EE" w14:paraId="4D938BE5" w14:textId="77777777" w:rsidTr="00052EE7">
        <w:trPr>
          <w:trHeight w:val="600"/>
        </w:trPr>
        <w:tc>
          <w:tcPr>
            <w:tcW w:w="1129" w:type="dxa"/>
          </w:tcPr>
          <w:p w14:paraId="48E44DD3" w14:textId="66A1CE82" w:rsidR="005221EE" w:rsidRDefault="005221EE">
            <w:r>
              <w:t>Question :</w:t>
            </w:r>
          </w:p>
        </w:tc>
        <w:tc>
          <w:tcPr>
            <w:tcW w:w="6237" w:type="dxa"/>
          </w:tcPr>
          <w:p w14:paraId="798A70BD" w14:textId="7485C5D4" w:rsidR="005221EE" w:rsidRDefault="005221EE">
            <w:r>
              <w:t>Proposition de réponse :</w:t>
            </w:r>
          </w:p>
        </w:tc>
        <w:tc>
          <w:tcPr>
            <w:tcW w:w="1696" w:type="dxa"/>
          </w:tcPr>
          <w:p w14:paraId="4F1401BD" w14:textId="0E0BF199" w:rsidR="005221EE" w:rsidRDefault="005221EE">
            <w:r>
              <w:t>Proposition de barème :</w:t>
            </w:r>
          </w:p>
        </w:tc>
      </w:tr>
      <w:tr w:rsidR="005221EE" w14:paraId="4D08F8A5" w14:textId="77777777" w:rsidTr="005221EE">
        <w:tc>
          <w:tcPr>
            <w:tcW w:w="1129" w:type="dxa"/>
          </w:tcPr>
          <w:p w14:paraId="6944DAA8" w14:textId="6BABFF28" w:rsidR="005221EE" w:rsidRDefault="005221EE">
            <w:r>
              <w:t>Q6</w:t>
            </w:r>
          </w:p>
        </w:tc>
        <w:tc>
          <w:tcPr>
            <w:tcW w:w="6237" w:type="dxa"/>
          </w:tcPr>
          <w:p w14:paraId="6FA8BE19" w14:textId="3EFAFDEB" w:rsidR="005221EE" w:rsidRDefault="005221EE" w:rsidP="0050205B">
            <w:pPr>
              <w:pStyle w:val="Paragraphedeliste"/>
              <w:numPr>
                <w:ilvl w:val="0"/>
                <w:numId w:val="1"/>
              </w:numPr>
              <w:ind w:left="0" w:firstLine="453"/>
            </w:pPr>
            <w:r>
              <w:t>ISO 45001 : le changement de mode d’introduction entrainera moins de port de charge</w:t>
            </w:r>
            <w:r w:rsidR="001D39D4">
              <w:t>s</w:t>
            </w:r>
            <w:r>
              <w:t xml:space="preserve"> lourde</w:t>
            </w:r>
            <w:r w:rsidR="001D39D4">
              <w:t>s</w:t>
            </w:r>
            <w:r>
              <w:t xml:space="preserve"> par les opérateurs donc moins de risque</w:t>
            </w:r>
            <w:r w:rsidR="001D39D4">
              <w:t>s</w:t>
            </w:r>
            <w:r>
              <w:t xml:space="preserve"> de blessures</w:t>
            </w:r>
            <w:r w:rsidR="001D39D4">
              <w:t>.</w:t>
            </w:r>
          </w:p>
          <w:p w14:paraId="5A314FBD" w14:textId="77777777" w:rsidR="005221EE" w:rsidRDefault="005221EE" w:rsidP="0050205B">
            <w:pPr>
              <w:pStyle w:val="Paragraphedeliste"/>
              <w:numPr>
                <w:ilvl w:val="0"/>
                <w:numId w:val="1"/>
              </w:numPr>
              <w:ind w:left="0" w:firstLine="453"/>
            </w:pPr>
            <w:r>
              <w:t>ISO 9001 et ISO 14001 : l’arôme naturel satisfera le client et sera plus respectueuse de l’environnement qu’un arôme artificielle.</w:t>
            </w:r>
          </w:p>
          <w:p w14:paraId="11854C48" w14:textId="3DEBED53" w:rsidR="005221EE" w:rsidRDefault="005221EE" w:rsidP="0050205B">
            <w:pPr>
              <w:pStyle w:val="Paragraphedeliste"/>
              <w:numPr>
                <w:ilvl w:val="0"/>
                <w:numId w:val="1"/>
              </w:numPr>
              <w:ind w:left="0" w:firstLine="453"/>
            </w:pPr>
            <w:r>
              <w:t>ISO 22000 : l’ancien arôme contient un constituant controversé pour ses effets sur la santé. Le supprimer est donc en accord avec la norme ISO 22000</w:t>
            </w:r>
            <w:r w:rsidR="001D39D4">
              <w:t>.</w:t>
            </w:r>
          </w:p>
        </w:tc>
        <w:tc>
          <w:tcPr>
            <w:tcW w:w="1696" w:type="dxa"/>
          </w:tcPr>
          <w:p w14:paraId="41CC1330" w14:textId="62FD4EF3" w:rsidR="005221EE" w:rsidRDefault="00052EE7">
            <w:r>
              <w:t>2+1+2</w:t>
            </w:r>
          </w:p>
        </w:tc>
      </w:tr>
      <w:tr w:rsidR="005221EE" w14:paraId="1634FC02" w14:textId="77777777" w:rsidTr="005221EE">
        <w:tc>
          <w:tcPr>
            <w:tcW w:w="1129" w:type="dxa"/>
          </w:tcPr>
          <w:p w14:paraId="306AC109" w14:textId="07E6887F" w:rsidR="005221EE" w:rsidRDefault="005221EE">
            <w:r>
              <w:t>Q7</w:t>
            </w:r>
          </w:p>
        </w:tc>
        <w:tc>
          <w:tcPr>
            <w:tcW w:w="6237" w:type="dxa"/>
          </w:tcPr>
          <w:p w14:paraId="0A7C3EE1" w14:textId="1E5D461A" w:rsidR="005221EE" w:rsidRDefault="005221EE">
            <w:r>
              <w:t xml:space="preserve">L’arôme naturel a un point </w:t>
            </w:r>
            <w:r w:rsidR="00691554">
              <w:t>é</w:t>
            </w:r>
            <w:r>
              <w:t>clair à 38°C. Il est donc inflammable à chaud</w:t>
            </w:r>
            <w:r w:rsidR="00691554">
              <w:t xml:space="preserve"> à cette température</w:t>
            </w:r>
            <w:r>
              <w:t xml:space="preserve">. Le conserver dans une cuve réfrigérée permettra de ne pas atteindre cette </w:t>
            </w:r>
            <w:r w:rsidR="00691554">
              <w:t>température.</w:t>
            </w:r>
          </w:p>
        </w:tc>
        <w:tc>
          <w:tcPr>
            <w:tcW w:w="1696" w:type="dxa"/>
          </w:tcPr>
          <w:p w14:paraId="5B84F196" w14:textId="3B02B0AD" w:rsidR="005221EE" w:rsidRDefault="00052EE7">
            <w:r>
              <w:t>2</w:t>
            </w:r>
          </w:p>
        </w:tc>
      </w:tr>
      <w:tr w:rsidR="005221EE" w14:paraId="0CF4F775" w14:textId="77777777" w:rsidTr="005221EE">
        <w:tc>
          <w:tcPr>
            <w:tcW w:w="1129" w:type="dxa"/>
          </w:tcPr>
          <w:p w14:paraId="09B49D84" w14:textId="0BCD1914" w:rsidR="005221EE" w:rsidRDefault="005221EE">
            <w:r>
              <w:t>Q8</w:t>
            </w:r>
          </w:p>
        </w:tc>
        <w:tc>
          <w:tcPr>
            <w:tcW w:w="6237" w:type="dxa"/>
          </w:tcPr>
          <w:p w14:paraId="710B7AAF" w14:textId="56048D27" w:rsidR="005221EE" w:rsidRDefault="00691554">
            <w:r>
              <w:t>Le DUER est utilisé pour répertorier et évaluer les risques dans une entreprise.</w:t>
            </w:r>
          </w:p>
        </w:tc>
        <w:tc>
          <w:tcPr>
            <w:tcW w:w="1696" w:type="dxa"/>
          </w:tcPr>
          <w:p w14:paraId="606E9272" w14:textId="1D02EA3E" w:rsidR="005221EE" w:rsidRDefault="00052EE7">
            <w:r>
              <w:t>1</w:t>
            </w:r>
          </w:p>
        </w:tc>
      </w:tr>
      <w:tr w:rsidR="005221EE" w14:paraId="0628C2EA" w14:textId="77777777" w:rsidTr="005221EE">
        <w:tc>
          <w:tcPr>
            <w:tcW w:w="1129" w:type="dxa"/>
          </w:tcPr>
          <w:p w14:paraId="2CC60764" w14:textId="1BDD6927" w:rsidR="005221EE" w:rsidRDefault="005221EE">
            <w:r>
              <w:t>Q9</w:t>
            </w:r>
          </w:p>
        </w:tc>
        <w:tc>
          <w:tcPr>
            <w:tcW w:w="6237" w:type="dxa"/>
          </w:tcPr>
          <w:p w14:paraId="44165088" w14:textId="73628E1D" w:rsidR="005221EE" w:rsidRDefault="00691554">
            <w:r>
              <w:t>Les risques sont</w:t>
            </w:r>
            <w:r w:rsidR="00C62371">
              <w:t xml:space="preserve"> : </w:t>
            </w:r>
            <w:r>
              <w:t xml:space="preserve">glissade, électrocution, brûlure chimique </w:t>
            </w:r>
          </w:p>
        </w:tc>
        <w:tc>
          <w:tcPr>
            <w:tcW w:w="1696" w:type="dxa"/>
          </w:tcPr>
          <w:p w14:paraId="271C5D01" w14:textId="7545A151" w:rsidR="005221EE" w:rsidRDefault="006C1F24">
            <w:r>
              <w:t>0.5+0.5+0.5</w:t>
            </w:r>
          </w:p>
        </w:tc>
      </w:tr>
      <w:tr w:rsidR="005221EE" w14:paraId="044DD329" w14:textId="77777777" w:rsidTr="005221EE">
        <w:tc>
          <w:tcPr>
            <w:tcW w:w="1129" w:type="dxa"/>
          </w:tcPr>
          <w:p w14:paraId="64CA2C6D" w14:textId="1BFD6D9C" w:rsidR="005221EE" w:rsidRDefault="005221EE">
            <w:r>
              <w:t>Q10</w:t>
            </w:r>
          </w:p>
        </w:tc>
        <w:tc>
          <w:tcPr>
            <w:tcW w:w="6237" w:type="dxa"/>
          </w:tcPr>
          <w:p w14:paraId="0DA3E541" w14:textId="77777777" w:rsidR="005221EE" w:rsidRDefault="0085458F">
            <w:r>
              <w:t>Les moyens de protections individuels sont le port de chaussure de sécurité, de bleu de travail et de casque.</w:t>
            </w:r>
          </w:p>
          <w:p w14:paraId="3B172BE3" w14:textId="227FE0B8" w:rsidR="0085458F" w:rsidRDefault="0085458F">
            <w:r>
              <w:lastRenderedPageBreak/>
              <w:t>Les moyens collectifs sont la mise en place d’un rinçage des installations et la consignation électrique</w:t>
            </w:r>
          </w:p>
        </w:tc>
        <w:tc>
          <w:tcPr>
            <w:tcW w:w="1696" w:type="dxa"/>
          </w:tcPr>
          <w:p w14:paraId="02FB7896" w14:textId="6684E831" w:rsidR="005221EE" w:rsidRDefault="0085458F">
            <w:r>
              <w:lastRenderedPageBreak/>
              <w:t>0.5+0.</w:t>
            </w:r>
            <w:r w:rsidR="006C1F24">
              <w:t>5+0.5</w:t>
            </w:r>
          </w:p>
        </w:tc>
      </w:tr>
      <w:tr w:rsidR="005221EE" w14:paraId="28B4E26F" w14:textId="77777777" w:rsidTr="005221EE">
        <w:tc>
          <w:tcPr>
            <w:tcW w:w="1129" w:type="dxa"/>
          </w:tcPr>
          <w:p w14:paraId="38AA7602" w14:textId="5267B788" w:rsidR="005221EE" w:rsidRDefault="005221EE">
            <w:r>
              <w:t>Q11</w:t>
            </w:r>
          </w:p>
        </w:tc>
        <w:tc>
          <w:tcPr>
            <w:tcW w:w="6237" w:type="dxa"/>
          </w:tcPr>
          <w:p w14:paraId="1C6AB4A5" w14:textId="40B515BB" w:rsidR="0085458F" w:rsidRDefault="0085458F" w:rsidP="0050205B">
            <w:pPr>
              <w:ind w:firstLine="453"/>
            </w:pPr>
            <w:r>
              <w:t>•</w:t>
            </w:r>
            <w:r>
              <w:tab/>
              <w:t>Respecter les consignes d’hygiène en zone de production</w:t>
            </w:r>
          </w:p>
          <w:p w14:paraId="44A0EE1D" w14:textId="77777777" w:rsidR="0085458F" w:rsidRDefault="0085458F" w:rsidP="0050205B">
            <w:pPr>
              <w:ind w:firstLine="453"/>
            </w:pPr>
            <w:r>
              <w:t>•</w:t>
            </w:r>
            <w:r>
              <w:tab/>
              <w:t>Le début et la fin de la maintenance font l’objet d’une information au responsable de production.</w:t>
            </w:r>
          </w:p>
          <w:p w14:paraId="6CDBB602" w14:textId="77777777" w:rsidR="0085458F" w:rsidRDefault="0085458F" w:rsidP="0050205B">
            <w:pPr>
              <w:ind w:firstLine="453"/>
            </w:pPr>
            <w:r>
              <w:t>•</w:t>
            </w:r>
            <w:r>
              <w:tab/>
              <w:t>Respecter les consignes de sécurité et condamner les zones d’intervention</w:t>
            </w:r>
          </w:p>
          <w:p w14:paraId="43E26502" w14:textId="77777777" w:rsidR="0085458F" w:rsidRDefault="0085458F" w:rsidP="0050205B">
            <w:pPr>
              <w:ind w:firstLine="453"/>
            </w:pPr>
            <w:r>
              <w:t>•</w:t>
            </w:r>
            <w:r>
              <w:tab/>
              <w:t>Protéger ou retirer les produits de la zone d’intervention pour éviter toute contamination</w:t>
            </w:r>
          </w:p>
          <w:p w14:paraId="5F49E859" w14:textId="11DAC992" w:rsidR="0085458F" w:rsidRDefault="0085458F" w:rsidP="0050205B">
            <w:pPr>
              <w:ind w:firstLine="453"/>
            </w:pPr>
            <w:r>
              <w:t>•</w:t>
            </w:r>
            <w:r>
              <w:tab/>
              <w:t>Ne pas poser l</w:t>
            </w:r>
            <w:r w:rsidR="001D39D4">
              <w:t>es outils ou les pièces démontées</w:t>
            </w:r>
            <w:r>
              <w:t xml:space="preserve"> à un endroit où il y a contact direct avec le produit</w:t>
            </w:r>
          </w:p>
          <w:p w14:paraId="31638A61" w14:textId="77777777" w:rsidR="0085458F" w:rsidRDefault="0085458F" w:rsidP="0050205B">
            <w:pPr>
              <w:ind w:firstLine="453"/>
            </w:pPr>
            <w:r>
              <w:t>•</w:t>
            </w:r>
            <w:r>
              <w:tab/>
              <w:t>Veiller à la propreté des outils et des pièces de rechange</w:t>
            </w:r>
          </w:p>
          <w:p w14:paraId="7E7DF857" w14:textId="52C0823B" w:rsidR="005221EE" w:rsidRDefault="0085458F" w:rsidP="0050205B">
            <w:pPr>
              <w:ind w:firstLine="453"/>
            </w:pPr>
            <w:r>
              <w:t>•</w:t>
            </w:r>
            <w:r>
              <w:tab/>
              <w:t>Veiller à bien remettre chaque vis ou boulon pour éviter la présence de corps étranger lors de la reprise de production</w:t>
            </w:r>
          </w:p>
        </w:tc>
        <w:tc>
          <w:tcPr>
            <w:tcW w:w="1696" w:type="dxa"/>
          </w:tcPr>
          <w:p w14:paraId="41AD196B" w14:textId="5B205986" w:rsidR="005221EE" w:rsidRDefault="00052EE7">
            <w:r>
              <w:t>1</w:t>
            </w:r>
            <w:r w:rsidR="0085458F">
              <w:t xml:space="preserve"> x 7</w:t>
            </w:r>
          </w:p>
        </w:tc>
      </w:tr>
      <w:tr w:rsidR="005221EE" w14:paraId="330DD77D" w14:textId="77777777" w:rsidTr="005221EE">
        <w:tc>
          <w:tcPr>
            <w:tcW w:w="1129" w:type="dxa"/>
          </w:tcPr>
          <w:p w14:paraId="3E5F7785" w14:textId="27F24B70" w:rsidR="005221EE" w:rsidRDefault="005221EE">
            <w:r>
              <w:t>Q12</w:t>
            </w:r>
          </w:p>
        </w:tc>
        <w:tc>
          <w:tcPr>
            <w:tcW w:w="6237" w:type="dxa"/>
          </w:tcPr>
          <w:p w14:paraId="36068D0E" w14:textId="77777777" w:rsidR="0085458F" w:rsidRDefault="0085458F" w:rsidP="0085458F">
            <w:r>
              <w:t>D</w:t>
            </w:r>
            <w:r>
              <w:tab/>
              <w:t>Préparation du chantier (balisage, …)</w:t>
            </w:r>
          </w:p>
          <w:p w14:paraId="345E1D77" w14:textId="77777777" w:rsidR="0085458F" w:rsidRDefault="0085458F" w:rsidP="0085458F">
            <w:r>
              <w:t>E</w:t>
            </w:r>
            <w:r>
              <w:tab/>
              <w:t>Installation de la cuve réfrigérée</w:t>
            </w:r>
          </w:p>
          <w:p w14:paraId="199D2DBB" w14:textId="77777777" w:rsidR="0085458F" w:rsidRDefault="0085458F" w:rsidP="0085458F">
            <w:r>
              <w:t>F</w:t>
            </w:r>
            <w:r>
              <w:tab/>
              <w:t>Installation de la pompe à lobe</w:t>
            </w:r>
          </w:p>
          <w:p w14:paraId="3DF02E0F" w14:textId="77777777" w:rsidR="0085458F" w:rsidRDefault="0085458F" w:rsidP="0085458F">
            <w:r>
              <w:t>G</w:t>
            </w:r>
            <w:r>
              <w:tab/>
              <w:t>Raccordement à la ligne de production</w:t>
            </w:r>
          </w:p>
          <w:p w14:paraId="4223C818" w14:textId="77777777" w:rsidR="0085458F" w:rsidRDefault="0085458F" w:rsidP="0085458F">
            <w:r>
              <w:t>H</w:t>
            </w:r>
            <w:r>
              <w:tab/>
              <w:t>Contrôle et déconsignation électrique</w:t>
            </w:r>
          </w:p>
          <w:p w14:paraId="71C027F8" w14:textId="77777777" w:rsidR="0085458F" w:rsidRDefault="0085458F" w:rsidP="0085458F">
            <w:r>
              <w:t>I</w:t>
            </w:r>
            <w:r>
              <w:tab/>
              <w:t>Test avant validation</w:t>
            </w:r>
          </w:p>
          <w:p w14:paraId="6F78EFD2" w14:textId="73CA3A78" w:rsidR="005221EE" w:rsidRDefault="0085458F" w:rsidP="0085458F">
            <w:r>
              <w:t>J</w:t>
            </w:r>
            <w:r>
              <w:tab/>
              <w:t>Remise en état du chantier</w:t>
            </w:r>
          </w:p>
        </w:tc>
        <w:tc>
          <w:tcPr>
            <w:tcW w:w="1696" w:type="dxa"/>
          </w:tcPr>
          <w:p w14:paraId="0D954893" w14:textId="327FA935" w:rsidR="005221EE" w:rsidRDefault="00052EE7">
            <w:r>
              <w:t>1 x 7</w:t>
            </w:r>
          </w:p>
        </w:tc>
      </w:tr>
      <w:tr w:rsidR="005221EE" w14:paraId="5A132F4D" w14:textId="77777777" w:rsidTr="005221EE">
        <w:tc>
          <w:tcPr>
            <w:tcW w:w="1129" w:type="dxa"/>
          </w:tcPr>
          <w:p w14:paraId="3510B712" w14:textId="65DBC9B9" w:rsidR="005221EE" w:rsidRDefault="005221EE">
            <w:r>
              <w:t>Q13</w:t>
            </w:r>
          </w:p>
        </w:tc>
        <w:tc>
          <w:tcPr>
            <w:tcW w:w="6237" w:type="dxa"/>
          </w:tcPr>
          <w:p w14:paraId="5D4BED27" w14:textId="3C0DA59E" w:rsidR="005221EE" w:rsidRDefault="0085458F">
            <w:r>
              <w:t>L’opération durera 14h et nécessitera l’intervention du responsable de production, des opérateurs affectées à la ligne, de l’équipe de maintenance de l’entreprise DESSERT LACTE, ainsi que l’équipe de INSTALINOX</w:t>
            </w:r>
          </w:p>
        </w:tc>
        <w:tc>
          <w:tcPr>
            <w:tcW w:w="1696" w:type="dxa"/>
          </w:tcPr>
          <w:p w14:paraId="44D5D32D" w14:textId="177B966C" w:rsidR="005221EE" w:rsidRDefault="00B97EE5">
            <w:r>
              <w:t>3</w:t>
            </w:r>
          </w:p>
        </w:tc>
      </w:tr>
      <w:tr w:rsidR="00226F3B" w14:paraId="5FCDA5DD" w14:textId="77777777" w:rsidTr="005221EE">
        <w:tc>
          <w:tcPr>
            <w:tcW w:w="1129" w:type="dxa"/>
          </w:tcPr>
          <w:p w14:paraId="06C7DF9D" w14:textId="6A2D28F7" w:rsidR="00226F3B" w:rsidRDefault="00226F3B">
            <w:r>
              <w:t>Q14-</w:t>
            </w:r>
          </w:p>
        </w:tc>
        <w:tc>
          <w:tcPr>
            <w:tcW w:w="6237" w:type="dxa"/>
          </w:tcPr>
          <w:p w14:paraId="3CDA3532" w14:textId="11739360" w:rsidR="00226F3B" w:rsidRDefault="00226F3B">
            <w:r>
              <w:t xml:space="preserve">Pour planifier une intervention, il faut mettre en place dans l’opération des phases de nettoyage (remise en état du chantier), mettre en place des contrôles avant la remise en fonctionnement par un responsable de production et </w:t>
            </w:r>
            <w:r w:rsidR="006C1F24">
              <w:t>donner des consignes de sécurité relative</w:t>
            </w:r>
            <w:r w:rsidR="001D39D4">
              <w:t>s</w:t>
            </w:r>
            <w:r w:rsidR="006C1F24">
              <w:t xml:space="preserve"> au respect des conditions d’hygiène à l’équipe intervenant lors des travaux.</w:t>
            </w:r>
          </w:p>
        </w:tc>
        <w:tc>
          <w:tcPr>
            <w:tcW w:w="1696" w:type="dxa"/>
          </w:tcPr>
          <w:p w14:paraId="1A378A9F" w14:textId="1743952A" w:rsidR="00226F3B" w:rsidRDefault="00052EE7">
            <w:r>
              <w:t>4</w:t>
            </w:r>
          </w:p>
        </w:tc>
      </w:tr>
    </w:tbl>
    <w:p w14:paraId="611A8B2A" w14:textId="77777777" w:rsidR="009620CA" w:rsidRDefault="009620CA"/>
    <w:p w14:paraId="52349868" w14:textId="5ECF1557" w:rsidR="005D5EC5" w:rsidRDefault="005D5EC5">
      <w:r>
        <w:t>PARTIE N°3 :</w:t>
      </w:r>
      <w:r w:rsidR="00822BC1">
        <w:t xml:space="preserve"> </w:t>
      </w:r>
      <w:r w:rsidR="00052EE7">
        <w:t>26</w:t>
      </w:r>
      <w:r w:rsidR="00822BC1">
        <w:t xml:space="preserve"> points</w:t>
      </w:r>
    </w:p>
    <w:tbl>
      <w:tblPr>
        <w:tblStyle w:val="Grilledutableau"/>
        <w:tblW w:w="0" w:type="auto"/>
        <w:tblLook w:val="04A0" w:firstRow="1" w:lastRow="0" w:firstColumn="1" w:lastColumn="0" w:noHBand="0" w:noVBand="1"/>
      </w:tblPr>
      <w:tblGrid>
        <w:gridCol w:w="1140"/>
        <w:gridCol w:w="6227"/>
        <w:gridCol w:w="1695"/>
      </w:tblGrid>
      <w:tr w:rsidR="00182C0E" w14:paraId="7A02FAF6" w14:textId="77777777" w:rsidTr="00967215">
        <w:tc>
          <w:tcPr>
            <w:tcW w:w="1129" w:type="dxa"/>
          </w:tcPr>
          <w:p w14:paraId="47056B96" w14:textId="111A9AA6" w:rsidR="00967215" w:rsidRDefault="00967215">
            <w:r>
              <w:t>Question :</w:t>
            </w:r>
          </w:p>
        </w:tc>
        <w:tc>
          <w:tcPr>
            <w:tcW w:w="6237" w:type="dxa"/>
          </w:tcPr>
          <w:p w14:paraId="35FD46F7" w14:textId="0D85B6F8" w:rsidR="00967215" w:rsidRDefault="00967215">
            <w:r>
              <w:t>Proposition de réponse :</w:t>
            </w:r>
          </w:p>
        </w:tc>
        <w:tc>
          <w:tcPr>
            <w:tcW w:w="1696" w:type="dxa"/>
          </w:tcPr>
          <w:p w14:paraId="509833AB" w14:textId="5D118989" w:rsidR="00967215" w:rsidRDefault="00967215">
            <w:r>
              <w:t>Proposition de barème :</w:t>
            </w:r>
          </w:p>
        </w:tc>
      </w:tr>
      <w:tr w:rsidR="00182C0E" w:rsidRPr="003338DB" w14:paraId="663497CB" w14:textId="77777777" w:rsidTr="00967215">
        <w:tc>
          <w:tcPr>
            <w:tcW w:w="1129" w:type="dxa"/>
          </w:tcPr>
          <w:p w14:paraId="5F62B962" w14:textId="559A719A" w:rsidR="00967215" w:rsidRDefault="00967215">
            <w:r>
              <w:t>Q1</w:t>
            </w:r>
            <w:r w:rsidR="006C1F24">
              <w:t>5</w:t>
            </w:r>
          </w:p>
        </w:tc>
        <w:tc>
          <w:tcPr>
            <w:tcW w:w="6237" w:type="dxa"/>
          </w:tcPr>
          <w:p w14:paraId="696ED4EB" w14:textId="064E3125" w:rsidR="00967215" w:rsidRPr="003338DB" w:rsidRDefault="003338DB">
            <w:r w:rsidRPr="003338DB">
              <w:t xml:space="preserve">HACCP = Hazard </w:t>
            </w:r>
            <w:proofErr w:type="spellStart"/>
            <w:r w:rsidRPr="003338DB">
              <w:t>Analysis</w:t>
            </w:r>
            <w:proofErr w:type="spellEnd"/>
            <w:r w:rsidRPr="003338DB">
              <w:t xml:space="preserve"> Critical Control Point est un outil qui permet d'évaluer les dangers et de mettre en place des systèmes de maîtrise axés davantage sur la prévention que sur l'analyse du produit fini</w:t>
            </w:r>
          </w:p>
        </w:tc>
        <w:tc>
          <w:tcPr>
            <w:tcW w:w="1696" w:type="dxa"/>
          </w:tcPr>
          <w:p w14:paraId="5BEB1FEC" w14:textId="2A441B75" w:rsidR="00967215" w:rsidRPr="003338DB" w:rsidRDefault="00052EE7">
            <w:r>
              <w:t>3</w:t>
            </w:r>
          </w:p>
        </w:tc>
      </w:tr>
      <w:tr w:rsidR="00182C0E" w14:paraId="2B659F9F" w14:textId="77777777" w:rsidTr="00967215">
        <w:tc>
          <w:tcPr>
            <w:tcW w:w="1129" w:type="dxa"/>
          </w:tcPr>
          <w:p w14:paraId="0AB038A4" w14:textId="5868F36E" w:rsidR="00967215" w:rsidRDefault="00967215">
            <w:r>
              <w:t>Q1</w:t>
            </w:r>
            <w:r w:rsidR="006C1F24">
              <w:t>6</w:t>
            </w:r>
          </w:p>
        </w:tc>
        <w:tc>
          <w:tcPr>
            <w:tcW w:w="6237" w:type="dxa"/>
          </w:tcPr>
          <w:p w14:paraId="2579A2A7" w14:textId="7B231401" w:rsidR="00967215" w:rsidRDefault="003338DB">
            <w:r>
              <w:t xml:space="preserve">Un CCP (point critique pour la maîtrise) est une mesure mise en place dans la procédure et ramené à une limite critique. La limite critique est la mesure qui définit l’acceptabilité ou non du risque. </w:t>
            </w:r>
          </w:p>
        </w:tc>
        <w:tc>
          <w:tcPr>
            <w:tcW w:w="1696" w:type="dxa"/>
          </w:tcPr>
          <w:p w14:paraId="4661A78D" w14:textId="0F4E100F" w:rsidR="00F5717E" w:rsidRDefault="00052EE7" w:rsidP="00F5717E">
            <w:r>
              <w:t>3</w:t>
            </w:r>
          </w:p>
        </w:tc>
      </w:tr>
      <w:tr w:rsidR="00182C0E" w14:paraId="041BD7E7" w14:textId="77777777" w:rsidTr="00967215">
        <w:tc>
          <w:tcPr>
            <w:tcW w:w="1129" w:type="dxa"/>
          </w:tcPr>
          <w:p w14:paraId="74A9509A" w14:textId="040B2175" w:rsidR="00967215" w:rsidRDefault="00967215">
            <w:r>
              <w:t>Q1</w:t>
            </w:r>
            <w:r w:rsidR="006C1F24">
              <w:t>7</w:t>
            </w:r>
          </w:p>
        </w:tc>
        <w:tc>
          <w:tcPr>
            <w:tcW w:w="6237" w:type="dxa"/>
          </w:tcPr>
          <w:p w14:paraId="1E862CD7" w14:textId="758D2BAE" w:rsidR="00967215" w:rsidRDefault="003338DB">
            <w:r>
              <w:t>Un PPPO (programme de prérequis opérationnel) est une mesure permettant l’apparition d’un risque.</w:t>
            </w:r>
          </w:p>
        </w:tc>
        <w:tc>
          <w:tcPr>
            <w:tcW w:w="1696" w:type="dxa"/>
          </w:tcPr>
          <w:p w14:paraId="1C73088D" w14:textId="19FAF54F" w:rsidR="00967215" w:rsidRDefault="00052EE7">
            <w:r>
              <w:t>2</w:t>
            </w:r>
          </w:p>
        </w:tc>
      </w:tr>
      <w:tr w:rsidR="00182C0E" w14:paraId="41D6C4C8" w14:textId="77777777" w:rsidTr="00967215">
        <w:tc>
          <w:tcPr>
            <w:tcW w:w="1129" w:type="dxa"/>
          </w:tcPr>
          <w:p w14:paraId="3B3661C1" w14:textId="73E4940B" w:rsidR="00967215" w:rsidRDefault="00967215">
            <w:r>
              <w:t>Q1</w:t>
            </w:r>
            <w:r w:rsidR="006C1F24">
              <w:t>8</w:t>
            </w:r>
          </w:p>
        </w:tc>
        <w:tc>
          <w:tcPr>
            <w:tcW w:w="6237" w:type="dxa"/>
          </w:tcPr>
          <w:p w14:paraId="305102BB" w14:textId="1BB62FF6" w:rsidR="00967215" w:rsidRDefault="003338DB">
            <w:r>
              <w:t>Il s’agit d’un PRPO</w:t>
            </w:r>
          </w:p>
        </w:tc>
        <w:tc>
          <w:tcPr>
            <w:tcW w:w="1696" w:type="dxa"/>
          </w:tcPr>
          <w:p w14:paraId="2EE27CB4" w14:textId="3CC2FEE3" w:rsidR="00967215" w:rsidRDefault="00052EE7">
            <w:r>
              <w:t>2</w:t>
            </w:r>
          </w:p>
        </w:tc>
      </w:tr>
      <w:tr w:rsidR="006C1F24" w14:paraId="115715D0" w14:textId="77777777" w:rsidTr="00967215">
        <w:tc>
          <w:tcPr>
            <w:tcW w:w="1129" w:type="dxa"/>
          </w:tcPr>
          <w:p w14:paraId="566DCACF" w14:textId="3CD3174D" w:rsidR="006C1F24" w:rsidRDefault="006C1F24">
            <w:r>
              <w:t>Q19</w:t>
            </w:r>
          </w:p>
        </w:tc>
        <w:tc>
          <w:tcPr>
            <w:tcW w:w="6237" w:type="dxa"/>
          </w:tcPr>
          <w:p w14:paraId="4D0A4934" w14:textId="69AB4148" w:rsidR="006C1F24" w:rsidRDefault="006C1F24">
            <w:r>
              <w:t>La soude étant une base forte, il y a un risque de brûlure chimique</w:t>
            </w:r>
          </w:p>
        </w:tc>
        <w:tc>
          <w:tcPr>
            <w:tcW w:w="1696" w:type="dxa"/>
          </w:tcPr>
          <w:p w14:paraId="1EA74036" w14:textId="1747943D" w:rsidR="006C1F24" w:rsidRDefault="00052EE7">
            <w:r>
              <w:t>2</w:t>
            </w:r>
          </w:p>
        </w:tc>
      </w:tr>
      <w:tr w:rsidR="006C1F24" w14:paraId="74421660" w14:textId="77777777" w:rsidTr="00967215">
        <w:tc>
          <w:tcPr>
            <w:tcW w:w="1129" w:type="dxa"/>
          </w:tcPr>
          <w:p w14:paraId="30B3530F" w14:textId="4965E267" w:rsidR="006C1F24" w:rsidRDefault="00B97EE5">
            <w:r>
              <w:t>Q20</w:t>
            </w:r>
          </w:p>
        </w:tc>
        <w:tc>
          <w:tcPr>
            <w:tcW w:w="6237" w:type="dxa"/>
          </w:tcPr>
          <w:p w14:paraId="6A8639D8" w14:textId="68C6D7D1" w:rsidR="006C1F24" w:rsidRDefault="006C1F24">
            <w:r>
              <w:t>Il faut porter un bleu de travail, des gants et une visière (des lunettes) de protection.</w:t>
            </w:r>
          </w:p>
        </w:tc>
        <w:tc>
          <w:tcPr>
            <w:tcW w:w="1696" w:type="dxa"/>
          </w:tcPr>
          <w:p w14:paraId="3A65F3AD" w14:textId="0EE20AA7" w:rsidR="006C1F24" w:rsidRDefault="00052EE7">
            <w:r>
              <w:t>3</w:t>
            </w:r>
          </w:p>
        </w:tc>
      </w:tr>
      <w:tr w:rsidR="00182C0E" w14:paraId="3DA8519C" w14:textId="77777777" w:rsidTr="00822BC1">
        <w:tc>
          <w:tcPr>
            <w:tcW w:w="1129" w:type="dxa"/>
          </w:tcPr>
          <w:p w14:paraId="6747F9C1" w14:textId="2B6A4C26" w:rsidR="00967215" w:rsidRDefault="00967215">
            <w:r>
              <w:lastRenderedPageBreak/>
              <w:t>Q</w:t>
            </w:r>
            <w:r w:rsidR="00B97EE5">
              <w:t>21</w:t>
            </w:r>
          </w:p>
        </w:tc>
        <w:tc>
          <w:tcPr>
            <w:tcW w:w="6237" w:type="dxa"/>
            <w:vAlign w:val="center"/>
          </w:tcPr>
          <w:p w14:paraId="4F455DCB" w14:textId="62ED6493" w:rsidR="00967215" w:rsidRDefault="003338DB" w:rsidP="00822BC1">
            <w:pPr>
              <w:jc w:val="center"/>
            </w:pPr>
            <w:r>
              <w:rPr>
                <w:noProof/>
                <w:lang w:eastAsia="fr-FR"/>
              </w:rPr>
              <w:drawing>
                <wp:inline distT="0" distB="0" distL="0" distR="0" wp14:anchorId="4838395D" wp14:editId="46E753FE">
                  <wp:extent cx="6524038" cy="1793536"/>
                  <wp:effectExtent l="3175"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rot="5400000">
                            <a:off x="0" y="0"/>
                            <a:ext cx="6587891" cy="1811090"/>
                          </a:xfrm>
                          <a:prstGeom prst="rect">
                            <a:avLst/>
                          </a:prstGeom>
                        </pic:spPr>
                      </pic:pic>
                    </a:graphicData>
                  </a:graphic>
                </wp:inline>
              </w:drawing>
            </w:r>
          </w:p>
        </w:tc>
        <w:tc>
          <w:tcPr>
            <w:tcW w:w="1696" w:type="dxa"/>
          </w:tcPr>
          <w:p w14:paraId="332C182D" w14:textId="2DF3B7FB" w:rsidR="00967215" w:rsidRDefault="006C1F24">
            <w:r>
              <w:t>5</w:t>
            </w:r>
          </w:p>
        </w:tc>
      </w:tr>
      <w:tr w:rsidR="00182C0E" w14:paraId="4AF111F9" w14:textId="77777777" w:rsidTr="00967215">
        <w:tc>
          <w:tcPr>
            <w:tcW w:w="1129" w:type="dxa"/>
          </w:tcPr>
          <w:p w14:paraId="7D4FB0A6" w14:textId="7B337397" w:rsidR="00967215" w:rsidRDefault="00967215">
            <w:r>
              <w:t>Q</w:t>
            </w:r>
            <w:r w:rsidR="00B97EE5">
              <w:t>22</w:t>
            </w:r>
          </w:p>
        </w:tc>
        <w:tc>
          <w:tcPr>
            <w:tcW w:w="6237" w:type="dxa"/>
          </w:tcPr>
          <w:p w14:paraId="7538CE7B" w14:textId="61777535" w:rsidR="00967215" w:rsidRDefault="00822BC1">
            <w:r>
              <w:t>On peut mettre en place un CCP en mesurant le pH en fin de rinçage</w:t>
            </w:r>
          </w:p>
        </w:tc>
        <w:tc>
          <w:tcPr>
            <w:tcW w:w="1696" w:type="dxa"/>
          </w:tcPr>
          <w:p w14:paraId="1F564064" w14:textId="3CC499DC" w:rsidR="00967215" w:rsidRDefault="00052EE7">
            <w:r>
              <w:t>2</w:t>
            </w:r>
          </w:p>
        </w:tc>
      </w:tr>
      <w:tr w:rsidR="00182C0E" w14:paraId="3EC39824" w14:textId="77777777" w:rsidTr="00967215">
        <w:tc>
          <w:tcPr>
            <w:tcW w:w="1129" w:type="dxa"/>
          </w:tcPr>
          <w:p w14:paraId="1D4B488A" w14:textId="44B17F17" w:rsidR="00967215" w:rsidRDefault="00967215">
            <w:r>
              <w:t>Q2</w:t>
            </w:r>
            <w:r w:rsidR="00B97EE5">
              <w:t>3</w:t>
            </w:r>
          </w:p>
        </w:tc>
        <w:tc>
          <w:tcPr>
            <w:tcW w:w="6237" w:type="dxa"/>
          </w:tcPr>
          <w:p w14:paraId="6C2A89C2" w14:textId="55B78D8E" w:rsidR="00967215" w:rsidRDefault="00822BC1">
            <w:r>
              <w:t>Elle permet de maîtriser les risques par la définition de mesur</w:t>
            </w:r>
            <w:r w:rsidR="00C62371">
              <w:t>es</w:t>
            </w:r>
            <w:r>
              <w:t xml:space="preserve"> de prévention et l’analyse des accidents permet d’améliorer les procédures de manière continue</w:t>
            </w:r>
          </w:p>
        </w:tc>
        <w:tc>
          <w:tcPr>
            <w:tcW w:w="1696" w:type="dxa"/>
          </w:tcPr>
          <w:p w14:paraId="36F3B716" w14:textId="4682C26A" w:rsidR="00967215" w:rsidRDefault="00052EE7">
            <w:r>
              <w:t>4</w:t>
            </w:r>
          </w:p>
        </w:tc>
      </w:tr>
    </w:tbl>
    <w:p w14:paraId="43EB220F" w14:textId="2E866C52" w:rsidR="00967215" w:rsidRDefault="00967215"/>
    <w:p w14:paraId="75F65B94" w14:textId="20BB2BDB" w:rsidR="00967215" w:rsidRDefault="00967215"/>
    <w:p w14:paraId="478E3531" w14:textId="359B8154" w:rsidR="00F5717E" w:rsidRDefault="00F5717E"/>
    <w:p w14:paraId="29BD35E7" w14:textId="5AC9B635" w:rsidR="00F5717E" w:rsidRDefault="00F5717E"/>
    <w:p w14:paraId="0760008D" w14:textId="0901C6EA" w:rsidR="00F5717E" w:rsidRDefault="00F5717E"/>
    <w:p w14:paraId="31013847" w14:textId="77777777" w:rsidR="00E638F5" w:rsidRPr="006C3D80" w:rsidRDefault="00E638F5" w:rsidP="00E638F5">
      <w:pPr>
        <w:pBdr>
          <w:bottom w:val="single" w:sz="4" w:space="1" w:color="auto"/>
        </w:pBdr>
        <w:rPr>
          <w:rFonts w:ascii="Arial" w:hAnsi="Arial" w:cs="Arial"/>
          <w:b/>
          <w:sz w:val="28"/>
          <w:szCs w:val="28"/>
        </w:rPr>
      </w:pPr>
      <w:r>
        <w:rPr>
          <w:rFonts w:ascii="Arial" w:hAnsi="Arial" w:cs="Arial"/>
          <w:b/>
          <w:sz w:val="28"/>
          <w:szCs w:val="28"/>
        </w:rPr>
        <w:lastRenderedPageBreak/>
        <w:t>Document r</w:t>
      </w:r>
      <w:r w:rsidRPr="006C3D80">
        <w:rPr>
          <w:rFonts w:ascii="Arial" w:hAnsi="Arial" w:cs="Arial"/>
          <w:b/>
          <w:sz w:val="28"/>
          <w:szCs w:val="28"/>
        </w:rPr>
        <w:t>éponse DR1</w:t>
      </w:r>
    </w:p>
    <w:p w14:paraId="16D8BBC9" w14:textId="77777777" w:rsidR="00E638F5" w:rsidRDefault="00E638F5" w:rsidP="00E638F5">
      <w:pPr>
        <w:rPr>
          <w:rFonts w:ascii="Arial" w:hAnsi="Arial" w:cs="Arial"/>
          <w:sz w:val="24"/>
          <w:szCs w:val="24"/>
        </w:rPr>
      </w:pPr>
      <w:r w:rsidRPr="006C3D80">
        <w:rPr>
          <w:rFonts w:ascii="Arial" w:hAnsi="Arial" w:cs="Arial"/>
          <w:sz w:val="24"/>
          <w:szCs w:val="24"/>
        </w:rPr>
        <w:t>Question Q</w:t>
      </w:r>
      <w:r>
        <w:rPr>
          <w:rFonts w:ascii="Arial" w:hAnsi="Arial" w:cs="Arial"/>
          <w:sz w:val="24"/>
          <w:szCs w:val="24"/>
        </w:rPr>
        <w:t>4</w:t>
      </w:r>
      <w:r w:rsidRPr="006C3D80">
        <w:rPr>
          <w:rFonts w:ascii="Arial" w:hAnsi="Arial" w:cs="Arial"/>
          <w:sz w:val="24"/>
          <w:szCs w:val="24"/>
        </w:rPr>
        <w:t> :</w:t>
      </w:r>
      <w:r w:rsidRPr="0039538A">
        <w:rPr>
          <w:rFonts w:ascii="Arial" w:hAnsi="Arial" w:cs="Arial"/>
          <w:sz w:val="24"/>
          <w:szCs w:val="24"/>
        </w:rPr>
        <w:t xml:space="preserve"> </w:t>
      </w:r>
      <w:r w:rsidRPr="0039538A">
        <w:rPr>
          <w:rFonts w:ascii="Arial" w:hAnsi="Arial" w:cs="Arial"/>
          <w:b/>
          <w:bCs/>
          <w:sz w:val="24"/>
          <w:szCs w:val="24"/>
        </w:rPr>
        <w:t>Compléter</w:t>
      </w:r>
      <w:r w:rsidRPr="0039538A">
        <w:rPr>
          <w:rFonts w:ascii="Arial" w:hAnsi="Arial" w:cs="Arial"/>
          <w:sz w:val="24"/>
          <w:szCs w:val="24"/>
        </w:rPr>
        <w:t>, à l’aide des documents technique n°2, 3, 4 et de vos connaissances, le tableau proposé dans le document réponse n°1.</w:t>
      </w:r>
    </w:p>
    <w:tbl>
      <w:tblPr>
        <w:tblStyle w:val="Grilledutableau"/>
        <w:tblW w:w="0" w:type="auto"/>
        <w:tblInd w:w="-5" w:type="dxa"/>
        <w:tblLayout w:type="fixed"/>
        <w:tblLook w:val="04A0" w:firstRow="1" w:lastRow="0" w:firstColumn="1" w:lastColumn="0" w:noHBand="0" w:noVBand="1"/>
      </w:tblPr>
      <w:tblGrid>
        <w:gridCol w:w="703"/>
        <w:gridCol w:w="3692"/>
        <w:gridCol w:w="1367"/>
        <w:gridCol w:w="1124"/>
        <w:gridCol w:w="1264"/>
        <w:gridCol w:w="421"/>
        <w:gridCol w:w="697"/>
      </w:tblGrid>
      <w:tr w:rsidR="00E638F5" w:rsidRPr="00860BC7" w14:paraId="4ECA1F0E" w14:textId="77777777" w:rsidTr="001F1BF5">
        <w:trPr>
          <w:cantSplit/>
          <w:trHeight w:val="3474"/>
        </w:trPr>
        <w:tc>
          <w:tcPr>
            <w:tcW w:w="703" w:type="dxa"/>
            <w:textDirection w:val="tbRl"/>
          </w:tcPr>
          <w:p w14:paraId="13A8C625"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Donnée de sortie</w:t>
            </w:r>
          </w:p>
        </w:tc>
        <w:tc>
          <w:tcPr>
            <w:tcW w:w="3692" w:type="dxa"/>
            <w:textDirection w:val="tbRl"/>
          </w:tcPr>
          <w:p w14:paraId="4CC62ECA"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POURQUOI : Que va-t-elle apporté aux différentes parties intéressées ?</w:t>
            </w:r>
          </w:p>
        </w:tc>
        <w:tc>
          <w:tcPr>
            <w:tcW w:w="1367" w:type="dxa"/>
            <w:textDirection w:val="tbRl"/>
          </w:tcPr>
          <w:p w14:paraId="69FDE1CF"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COMBIEN : Sa mise en place se fait-elle en une seule fois ? sinon, en combien de temps ? et par quel biais ?</w:t>
            </w:r>
          </w:p>
        </w:tc>
        <w:tc>
          <w:tcPr>
            <w:tcW w:w="1124" w:type="dxa"/>
            <w:textDirection w:val="tbRl"/>
          </w:tcPr>
          <w:p w14:paraId="4BCCA7A7"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QUOI : A quoi sert cette norme ? Quel est son but ?</w:t>
            </w:r>
          </w:p>
        </w:tc>
        <w:tc>
          <w:tcPr>
            <w:tcW w:w="1264" w:type="dxa"/>
            <w:textDirection w:val="tbRl"/>
          </w:tcPr>
          <w:p w14:paraId="05488943"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QUI : Qui est concerné par cette norme ?</w:t>
            </w:r>
          </w:p>
        </w:tc>
        <w:tc>
          <w:tcPr>
            <w:tcW w:w="421" w:type="dxa"/>
            <w:textDirection w:val="tbRl"/>
          </w:tcPr>
          <w:p w14:paraId="4AC68FC7" w14:textId="77777777" w:rsidR="00E638F5" w:rsidRPr="00860BC7" w:rsidRDefault="00E638F5" w:rsidP="001F1BF5">
            <w:pPr>
              <w:ind w:left="113" w:right="113"/>
              <w:rPr>
                <w:rFonts w:ascii="Arial" w:hAnsi="Arial" w:cs="Arial"/>
                <w:sz w:val="24"/>
                <w:szCs w:val="24"/>
              </w:rPr>
            </w:pPr>
          </w:p>
        </w:tc>
        <w:tc>
          <w:tcPr>
            <w:tcW w:w="697" w:type="dxa"/>
            <w:textDirection w:val="tbRl"/>
          </w:tcPr>
          <w:p w14:paraId="3E86A73A"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Donnée d’entrée</w:t>
            </w:r>
          </w:p>
        </w:tc>
      </w:tr>
      <w:tr w:rsidR="00E638F5" w:rsidRPr="00860BC7" w14:paraId="754CE582" w14:textId="77777777" w:rsidTr="001F1BF5">
        <w:trPr>
          <w:cantSplit/>
          <w:trHeight w:val="2176"/>
        </w:trPr>
        <w:tc>
          <w:tcPr>
            <w:tcW w:w="703" w:type="dxa"/>
            <w:vMerge w:val="restart"/>
            <w:textDirection w:val="tbRl"/>
          </w:tcPr>
          <w:p w14:paraId="3B1644C3"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Comment les différents acteurs de l’entreprise peuvent agir dans la mise en place de ces normes ?</w:t>
            </w:r>
          </w:p>
        </w:tc>
        <w:tc>
          <w:tcPr>
            <w:tcW w:w="3692" w:type="dxa"/>
            <w:textDirection w:val="tbRl"/>
          </w:tcPr>
          <w:p w14:paraId="7B98C2A2" w14:textId="77777777" w:rsidR="00E638F5" w:rsidRPr="00E638F5" w:rsidRDefault="00E638F5" w:rsidP="00E638F5">
            <w:pPr>
              <w:pStyle w:val="Paragraphedeliste"/>
              <w:numPr>
                <w:ilvl w:val="0"/>
                <w:numId w:val="2"/>
              </w:numPr>
              <w:ind w:right="113"/>
              <w:rPr>
                <w:rFonts w:ascii="Arial" w:hAnsi="Arial" w:cs="Arial"/>
                <w:color w:val="FF0000"/>
              </w:rPr>
            </w:pPr>
            <w:r w:rsidRPr="00E638F5">
              <w:rPr>
                <w:rFonts w:ascii="Arial" w:hAnsi="Arial" w:cs="Arial"/>
                <w:color w:val="FF0000"/>
              </w:rPr>
              <w:t>Adaptation aux évolutions du marché</w:t>
            </w:r>
          </w:p>
          <w:p w14:paraId="1FA7D2B6" w14:textId="77777777" w:rsidR="00E638F5" w:rsidRPr="00E638F5" w:rsidRDefault="00E638F5" w:rsidP="00E638F5">
            <w:pPr>
              <w:pStyle w:val="Paragraphedeliste"/>
              <w:numPr>
                <w:ilvl w:val="0"/>
                <w:numId w:val="2"/>
              </w:numPr>
              <w:ind w:right="113"/>
              <w:rPr>
                <w:rFonts w:ascii="Arial" w:hAnsi="Arial" w:cs="Arial"/>
                <w:color w:val="FF0000"/>
              </w:rPr>
            </w:pPr>
            <w:r w:rsidRPr="00E638F5">
              <w:rPr>
                <w:rFonts w:ascii="Arial" w:hAnsi="Arial" w:cs="Arial"/>
                <w:color w:val="FF0000"/>
              </w:rPr>
              <w:t>Motivation au sein de l’entreprise</w:t>
            </w:r>
          </w:p>
          <w:p w14:paraId="48DF75CD" w14:textId="77777777" w:rsidR="00E638F5" w:rsidRPr="00E638F5" w:rsidRDefault="00E638F5" w:rsidP="00E638F5">
            <w:pPr>
              <w:pStyle w:val="Paragraphedeliste"/>
              <w:numPr>
                <w:ilvl w:val="0"/>
                <w:numId w:val="2"/>
              </w:numPr>
              <w:ind w:right="113"/>
              <w:rPr>
                <w:rFonts w:ascii="Arial" w:hAnsi="Arial" w:cs="Arial"/>
                <w:color w:val="FF0000"/>
              </w:rPr>
            </w:pPr>
            <w:r w:rsidRPr="00E638F5">
              <w:rPr>
                <w:rFonts w:ascii="Arial" w:hAnsi="Arial" w:cs="Arial"/>
                <w:color w:val="FF0000"/>
              </w:rPr>
              <w:t>Garantie de qualité</w:t>
            </w:r>
          </w:p>
          <w:p w14:paraId="6058BD29" w14:textId="5AA2894D" w:rsidR="00E638F5" w:rsidRPr="00E638F5" w:rsidRDefault="00E638F5" w:rsidP="00E638F5">
            <w:pPr>
              <w:pStyle w:val="Paragraphedeliste"/>
              <w:numPr>
                <w:ilvl w:val="0"/>
                <w:numId w:val="2"/>
              </w:numPr>
              <w:ind w:right="113"/>
              <w:rPr>
                <w:rFonts w:ascii="Arial" w:hAnsi="Arial" w:cs="Arial"/>
                <w:color w:val="FF0000"/>
                <w:sz w:val="24"/>
                <w:szCs w:val="24"/>
              </w:rPr>
            </w:pPr>
            <w:r w:rsidRPr="00E638F5">
              <w:rPr>
                <w:rFonts w:ascii="Arial" w:hAnsi="Arial" w:cs="Arial"/>
                <w:color w:val="FF0000"/>
              </w:rPr>
              <w:t>Amélioration continue de la qualité</w:t>
            </w:r>
          </w:p>
        </w:tc>
        <w:tc>
          <w:tcPr>
            <w:tcW w:w="1367" w:type="dxa"/>
            <w:vMerge w:val="restart"/>
            <w:textDirection w:val="tbRl"/>
            <w:vAlign w:val="center"/>
          </w:tcPr>
          <w:p w14:paraId="475DC34F" w14:textId="77777777" w:rsidR="00E638F5" w:rsidRPr="00860BC7" w:rsidRDefault="00E638F5" w:rsidP="001F1BF5">
            <w:pPr>
              <w:ind w:left="113" w:right="113"/>
              <w:jc w:val="center"/>
              <w:rPr>
                <w:rFonts w:ascii="Arial" w:hAnsi="Arial" w:cs="Arial"/>
                <w:sz w:val="24"/>
                <w:szCs w:val="24"/>
              </w:rPr>
            </w:pPr>
            <w:r>
              <w:rPr>
                <w:rFonts w:ascii="Arial" w:hAnsi="Arial" w:cs="Arial"/>
                <w:sz w:val="24"/>
                <w:szCs w:val="24"/>
              </w:rPr>
              <w:t>Durant toute la vie de l’entreprise car elle repose sur l’amélioration continue</w:t>
            </w:r>
          </w:p>
        </w:tc>
        <w:tc>
          <w:tcPr>
            <w:tcW w:w="1124" w:type="dxa"/>
            <w:textDirection w:val="tbRl"/>
          </w:tcPr>
          <w:p w14:paraId="731A7960" w14:textId="0C93CEA6" w:rsidR="00E638F5" w:rsidRPr="00E638F5" w:rsidRDefault="00E638F5" w:rsidP="001F1BF5">
            <w:pPr>
              <w:ind w:left="113" w:right="113"/>
              <w:rPr>
                <w:rFonts w:ascii="Arial" w:hAnsi="Arial" w:cs="Arial"/>
                <w:color w:val="FF0000"/>
              </w:rPr>
            </w:pPr>
            <w:r w:rsidRPr="00E638F5">
              <w:rPr>
                <w:rFonts w:ascii="Arial" w:hAnsi="Arial" w:cs="Arial"/>
                <w:color w:val="FF0000"/>
              </w:rPr>
              <w:t>Management de la qualité</w:t>
            </w:r>
          </w:p>
        </w:tc>
        <w:tc>
          <w:tcPr>
            <w:tcW w:w="1264" w:type="dxa"/>
            <w:vMerge w:val="restart"/>
            <w:textDirection w:val="tbRl"/>
            <w:vAlign w:val="center"/>
          </w:tcPr>
          <w:p w14:paraId="59AF433F" w14:textId="77777777" w:rsidR="00E638F5" w:rsidRPr="00860BC7" w:rsidRDefault="00E638F5" w:rsidP="001F1BF5">
            <w:pPr>
              <w:ind w:left="113" w:right="113"/>
              <w:jc w:val="center"/>
              <w:rPr>
                <w:rFonts w:ascii="Arial" w:hAnsi="Arial" w:cs="Arial"/>
                <w:sz w:val="24"/>
                <w:szCs w:val="24"/>
              </w:rPr>
            </w:pPr>
            <w:r>
              <w:rPr>
                <w:rFonts w:ascii="Arial" w:hAnsi="Arial" w:cs="Arial"/>
                <w:sz w:val="24"/>
                <w:szCs w:val="24"/>
              </w:rPr>
              <w:t>Tous les personnels de l’entreprise</w:t>
            </w:r>
          </w:p>
        </w:tc>
        <w:tc>
          <w:tcPr>
            <w:tcW w:w="421" w:type="dxa"/>
            <w:textDirection w:val="tbRl"/>
          </w:tcPr>
          <w:p w14:paraId="33B3ACF7"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ISO 9001</w:t>
            </w:r>
          </w:p>
        </w:tc>
        <w:tc>
          <w:tcPr>
            <w:tcW w:w="697" w:type="dxa"/>
            <w:vMerge w:val="restart"/>
            <w:textDirection w:val="tbRl"/>
          </w:tcPr>
          <w:p w14:paraId="0EFF5AD9"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Description des normes ISO mise en place par le groupe</w:t>
            </w:r>
          </w:p>
        </w:tc>
      </w:tr>
      <w:tr w:rsidR="00E638F5" w:rsidRPr="00860BC7" w14:paraId="7308039A" w14:textId="77777777" w:rsidTr="001F1BF5">
        <w:trPr>
          <w:cantSplit/>
          <w:trHeight w:val="2176"/>
        </w:trPr>
        <w:tc>
          <w:tcPr>
            <w:tcW w:w="703" w:type="dxa"/>
            <w:vMerge/>
            <w:textDirection w:val="tbRl"/>
          </w:tcPr>
          <w:p w14:paraId="220DB2A6" w14:textId="77777777" w:rsidR="00E638F5" w:rsidRPr="00860BC7" w:rsidRDefault="00E638F5" w:rsidP="001F1BF5">
            <w:pPr>
              <w:ind w:left="113" w:right="113"/>
              <w:rPr>
                <w:rFonts w:ascii="Arial" w:hAnsi="Arial" w:cs="Arial"/>
                <w:sz w:val="24"/>
                <w:szCs w:val="24"/>
              </w:rPr>
            </w:pPr>
          </w:p>
        </w:tc>
        <w:tc>
          <w:tcPr>
            <w:tcW w:w="3692" w:type="dxa"/>
            <w:textDirection w:val="tbRl"/>
          </w:tcPr>
          <w:p w14:paraId="18799A63" w14:textId="3CEEE0AE" w:rsidR="00E638F5" w:rsidRPr="00E638F5" w:rsidRDefault="00E638F5" w:rsidP="00E638F5">
            <w:pPr>
              <w:pStyle w:val="Paragraphedeliste"/>
              <w:numPr>
                <w:ilvl w:val="0"/>
                <w:numId w:val="3"/>
              </w:numPr>
              <w:ind w:right="113"/>
              <w:rPr>
                <w:rFonts w:ascii="Arial" w:hAnsi="Arial" w:cs="Arial"/>
                <w:color w:val="FF0000"/>
              </w:rPr>
            </w:pPr>
            <w:r w:rsidRPr="00E638F5">
              <w:rPr>
                <w:rFonts w:ascii="Arial" w:hAnsi="Arial" w:cs="Arial"/>
                <w:color w:val="FF0000"/>
              </w:rPr>
              <w:t>Adaptation aux évolutions du marché</w:t>
            </w:r>
          </w:p>
          <w:p w14:paraId="53A58125" w14:textId="77777777" w:rsidR="00E638F5" w:rsidRPr="00E638F5" w:rsidRDefault="00E638F5" w:rsidP="00E638F5">
            <w:pPr>
              <w:pStyle w:val="Paragraphedeliste"/>
              <w:numPr>
                <w:ilvl w:val="0"/>
                <w:numId w:val="3"/>
              </w:numPr>
              <w:ind w:right="113"/>
              <w:rPr>
                <w:rFonts w:ascii="Arial" w:hAnsi="Arial" w:cs="Arial"/>
                <w:color w:val="FF0000"/>
              </w:rPr>
            </w:pPr>
            <w:r w:rsidRPr="00E638F5">
              <w:rPr>
                <w:rFonts w:ascii="Arial" w:hAnsi="Arial" w:cs="Arial"/>
                <w:color w:val="FF0000"/>
              </w:rPr>
              <w:t>Motivation au sein de l’entreprise</w:t>
            </w:r>
          </w:p>
          <w:p w14:paraId="6354C21A" w14:textId="77777777" w:rsidR="00E638F5" w:rsidRPr="00E638F5" w:rsidRDefault="00E638F5" w:rsidP="00E638F5">
            <w:pPr>
              <w:pStyle w:val="Paragraphedeliste"/>
              <w:numPr>
                <w:ilvl w:val="0"/>
                <w:numId w:val="3"/>
              </w:numPr>
              <w:ind w:right="113"/>
              <w:rPr>
                <w:rFonts w:ascii="Arial" w:hAnsi="Arial" w:cs="Arial"/>
                <w:color w:val="FF0000"/>
                <w:sz w:val="24"/>
                <w:szCs w:val="24"/>
              </w:rPr>
            </w:pPr>
            <w:r w:rsidRPr="00E638F5">
              <w:rPr>
                <w:rFonts w:ascii="Arial" w:hAnsi="Arial" w:cs="Arial"/>
                <w:color w:val="FF0000"/>
              </w:rPr>
              <w:t>Activité respectueuse de l</w:t>
            </w:r>
            <w:r w:rsidRPr="00E638F5">
              <w:rPr>
                <w:rFonts w:ascii="Arial" w:hAnsi="Arial" w:cs="Arial"/>
                <w:color w:val="FF0000"/>
                <w:sz w:val="20"/>
                <w:szCs w:val="20"/>
              </w:rPr>
              <w:t>’</w:t>
            </w:r>
            <w:r w:rsidRPr="00E638F5">
              <w:rPr>
                <w:rFonts w:ascii="Arial" w:hAnsi="Arial" w:cs="Arial"/>
                <w:color w:val="FF0000"/>
              </w:rPr>
              <w:t>environnement</w:t>
            </w:r>
          </w:p>
          <w:p w14:paraId="028B5F0D" w14:textId="4BD9B641" w:rsidR="00E638F5" w:rsidRPr="00E638F5" w:rsidRDefault="00E638F5" w:rsidP="00E638F5">
            <w:pPr>
              <w:pStyle w:val="Paragraphedeliste"/>
              <w:numPr>
                <w:ilvl w:val="0"/>
                <w:numId w:val="3"/>
              </w:numPr>
              <w:ind w:right="113"/>
              <w:rPr>
                <w:rFonts w:ascii="Arial" w:hAnsi="Arial" w:cs="Arial"/>
                <w:color w:val="FF0000"/>
                <w:sz w:val="24"/>
                <w:szCs w:val="24"/>
              </w:rPr>
            </w:pPr>
            <w:r>
              <w:rPr>
                <w:rFonts w:ascii="Arial" w:hAnsi="Arial" w:cs="Arial"/>
                <w:color w:val="FF0000"/>
              </w:rPr>
              <w:t>Amélioration continue des processus</w:t>
            </w:r>
          </w:p>
        </w:tc>
        <w:tc>
          <w:tcPr>
            <w:tcW w:w="1367" w:type="dxa"/>
            <w:vMerge/>
            <w:textDirection w:val="tbRl"/>
          </w:tcPr>
          <w:p w14:paraId="37CA39E9" w14:textId="77777777" w:rsidR="00E638F5" w:rsidRPr="00860BC7" w:rsidRDefault="00E638F5" w:rsidP="001F1BF5">
            <w:pPr>
              <w:ind w:left="113" w:right="113"/>
              <w:rPr>
                <w:rFonts w:ascii="Arial" w:hAnsi="Arial" w:cs="Arial"/>
                <w:sz w:val="24"/>
                <w:szCs w:val="24"/>
              </w:rPr>
            </w:pPr>
          </w:p>
        </w:tc>
        <w:tc>
          <w:tcPr>
            <w:tcW w:w="1124" w:type="dxa"/>
            <w:textDirection w:val="tbRl"/>
          </w:tcPr>
          <w:p w14:paraId="641C5E5C" w14:textId="773FE2BE" w:rsidR="00E638F5" w:rsidRPr="00E638F5" w:rsidRDefault="00E638F5" w:rsidP="001F1BF5">
            <w:pPr>
              <w:ind w:left="113" w:right="113"/>
              <w:rPr>
                <w:rFonts w:ascii="Arial" w:hAnsi="Arial" w:cs="Arial"/>
                <w:color w:val="FF0000"/>
              </w:rPr>
            </w:pPr>
            <w:r w:rsidRPr="00E638F5">
              <w:rPr>
                <w:rFonts w:ascii="Arial" w:hAnsi="Arial" w:cs="Arial"/>
                <w:color w:val="FF0000"/>
              </w:rPr>
              <w:t>Management de l’environnement</w:t>
            </w:r>
          </w:p>
        </w:tc>
        <w:tc>
          <w:tcPr>
            <w:tcW w:w="1264" w:type="dxa"/>
            <w:vMerge/>
            <w:textDirection w:val="tbRl"/>
          </w:tcPr>
          <w:p w14:paraId="2F5CE18A" w14:textId="77777777" w:rsidR="00E638F5" w:rsidRPr="00860BC7" w:rsidRDefault="00E638F5" w:rsidP="001F1BF5">
            <w:pPr>
              <w:ind w:left="113" w:right="113"/>
              <w:rPr>
                <w:rFonts w:ascii="Arial" w:hAnsi="Arial" w:cs="Arial"/>
                <w:sz w:val="24"/>
                <w:szCs w:val="24"/>
              </w:rPr>
            </w:pPr>
          </w:p>
        </w:tc>
        <w:tc>
          <w:tcPr>
            <w:tcW w:w="421" w:type="dxa"/>
            <w:textDirection w:val="tbRl"/>
          </w:tcPr>
          <w:p w14:paraId="1945371D"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ISO 14001</w:t>
            </w:r>
          </w:p>
        </w:tc>
        <w:tc>
          <w:tcPr>
            <w:tcW w:w="697" w:type="dxa"/>
            <w:vMerge/>
            <w:textDirection w:val="tbRl"/>
          </w:tcPr>
          <w:p w14:paraId="0F600E0F" w14:textId="77777777" w:rsidR="00E638F5" w:rsidRPr="00860BC7" w:rsidRDefault="00E638F5" w:rsidP="001F1BF5">
            <w:pPr>
              <w:ind w:left="113" w:right="113"/>
              <w:rPr>
                <w:rFonts w:ascii="Arial" w:hAnsi="Arial" w:cs="Arial"/>
                <w:sz w:val="24"/>
                <w:szCs w:val="24"/>
              </w:rPr>
            </w:pPr>
          </w:p>
        </w:tc>
      </w:tr>
      <w:tr w:rsidR="00E638F5" w:rsidRPr="00860BC7" w14:paraId="14593DDB" w14:textId="77777777" w:rsidTr="001F1BF5">
        <w:trPr>
          <w:cantSplit/>
          <w:trHeight w:val="2176"/>
        </w:trPr>
        <w:tc>
          <w:tcPr>
            <w:tcW w:w="703" w:type="dxa"/>
            <w:vMerge/>
            <w:textDirection w:val="tbRl"/>
          </w:tcPr>
          <w:p w14:paraId="157F26F4" w14:textId="77777777" w:rsidR="00E638F5" w:rsidRPr="00860BC7" w:rsidRDefault="00E638F5" w:rsidP="001F1BF5">
            <w:pPr>
              <w:ind w:left="113" w:right="113"/>
              <w:rPr>
                <w:rFonts w:ascii="Arial" w:hAnsi="Arial" w:cs="Arial"/>
                <w:sz w:val="24"/>
                <w:szCs w:val="24"/>
              </w:rPr>
            </w:pPr>
          </w:p>
        </w:tc>
        <w:tc>
          <w:tcPr>
            <w:tcW w:w="3692" w:type="dxa"/>
            <w:textDirection w:val="tbRl"/>
          </w:tcPr>
          <w:p w14:paraId="26CB5A20" w14:textId="624D4CE6" w:rsidR="00E638F5" w:rsidRPr="00226F3B" w:rsidRDefault="00E638F5" w:rsidP="00E638F5">
            <w:pPr>
              <w:pStyle w:val="Paragraphedeliste"/>
              <w:numPr>
                <w:ilvl w:val="0"/>
                <w:numId w:val="3"/>
              </w:numPr>
              <w:ind w:right="113"/>
              <w:rPr>
                <w:rFonts w:ascii="Arial" w:hAnsi="Arial" w:cs="Arial"/>
              </w:rPr>
            </w:pPr>
            <w:r w:rsidRPr="00226F3B">
              <w:rPr>
                <w:rFonts w:ascii="Arial" w:hAnsi="Arial" w:cs="Arial"/>
              </w:rPr>
              <w:t>Motivation au sein de l’entreprise</w:t>
            </w:r>
          </w:p>
          <w:p w14:paraId="4A8BF423" w14:textId="2FA8E8F5" w:rsidR="00E638F5" w:rsidRPr="00226F3B" w:rsidRDefault="00E638F5" w:rsidP="00E638F5">
            <w:pPr>
              <w:pStyle w:val="Paragraphedeliste"/>
              <w:numPr>
                <w:ilvl w:val="0"/>
                <w:numId w:val="3"/>
              </w:numPr>
              <w:ind w:right="113"/>
              <w:rPr>
                <w:rFonts w:ascii="Arial" w:hAnsi="Arial" w:cs="Arial"/>
              </w:rPr>
            </w:pPr>
            <w:r w:rsidRPr="00226F3B">
              <w:rPr>
                <w:rFonts w:ascii="Arial" w:hAnsi="Arial" w:cs="Arial"/>
              </w:rPr>
              <w:t>Amélioration et sécurisation des processus</w:t>
            </w:r>
          </w:p>
          <w:p w14:paraId="4A0629CB" w14:textId="37FAACFE" w:rsidR="00E638F5" w:rsidRPr="00226F3B" w:rsidRDefault="00E638F5" w:rsidP="00E638F5">
            <w:pPr>
              <w:pStyle w:val="Paragraphedeliste"/>
              <w:numPr>
                <w:ilvl w:val="0"/>
                <w:numId w:val="3"/>
              </w:numPr>
              <w:ind w:right="113"/>
              <w:rPr>
                <w:rFonts w:ascii="Arial" w:hAnsi="Arial" w:cs="Arial"/>
              </w:rPr>
            </w:pPr>
            <w:r w:rsidRPr="00226F3B">
              <w:rPr>
                <w:rFonts w:ascii="Arial" w:hAnsi="Arial" w:cs="Arial"/>
              </w:rPr>
              <w:t>Amélioration continue des processus</w:t>
            </w:r>
          </w:p>
        </w:tc>
        <w:tc>
          <w:tcPr>
            <w:tcW w:w="1367" w:type="dxa"/>
            <w:vMerge/>
            <w:textDirection w:val="tbRl"/>
          </w:tcPr>
          <w:p w14:paraId="697E31B3" w14:textId="77777777" w:rsidR="00E638F5" w:rsidRPr="00860BC7" w:rsidRDefault="00E638F5" w:rsidP="001F1BF5">
            <w:pPr>
              <w:ind w:left="113" w:right="113"/>
              <w:rPr>
                <w:rFonts w:ascii="Arial" w:hAnsi="Arial" w:cs="Arial"/>
                <w:sz w:val="24"/>
                <w:szCs w:val="24"/>
              </w:rPr>
            </w:pPr>
          </w:p>
        </w:tc>
        <w:tc>
          <w:tcPr>
            <w:tcW w:w="1124" w:type="dxa"/>
            <w:textDirection w:val="tbRl"/>
          </w:tcPr>
          <w:p w14:paraId="2945A1E1" w14:textId="5CF78C4F" w:rsidR="00E638F5" w:rsidRPr="00226F3B" w:rsidRDefault="00E638F5" w:rsidP="001F1BF5">
            <w:pPr>
              <w:ind w:left="113" w:right="113"/>
              <w:rPr>
                <w:rFonts w:ascii="Arial" w:hAnsi="Arial" w:cs="Arial"/>
              </w:rPr>
            </w:pPr>
            <w:r w:rsidRPr="00226F3B">
              <w:rPr>
                <w:rFonts w:ascii="Arial" w:hAnsi="Arial" w:cs="Arial"/>
              </w:rPr>
              <w:t>Management de la sante et la sécurité au travail</w:t>
            </w:r>
          </w:p>
        </w:tc>
        <w:tc>
          <w:tcPr>
            <w:tcW w:w="1264" w:type="dxa"/>
            <w:vMerge/>
            <w:textDirection w:val="tbRl"/>
          </w:tcPr>
          <w:p w14:paraId="6F600642" w14:textId="77777777" w:rsidR="00E638F5" w:rsidRPr="00860BC7" w:rsidRDefault="00E638F5" w:rsidP="001F1BF5">
            <w:pPr>
              <w:ind w:left="113" w:right="113"/>
              <w:rPr>
                <w:rFonts w:ascii="Arial" w:hAnsi="Arial" w:cs="Arial"/>
                <w:sz w:val="24"/>
                <w:szCs w:val="24"/>
              </w:rPr>
            </w:pPr>
          </w:p>
        </w:tc>
        <w:tc>
          <w:tcPr>
            <w:tcW w:w="421" w:type="dxa"/>
            <w:textDirection w:val="tbRl"/>
          </w:tcPr>
          <w:p w14:paraId="51DD03CB"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ISO 45001</w:t>
            </w:r>
          </w:p>
        </w:tc>
        <w:tc>
          <w:tcPr>
            <w:tcW w:w="697" w:type="dxa"/>
            <w:vMerge/>
            <w:textDirection w:val="tbRl"/>
          </w:tcPr>
          <w:p w14:paraId="26E7594A" w14:textId="77777777" w:rsidR="00E638F5" w:rsidRPr="00860BC7" w:rsidRDefault="00E638F5" w:rsidP="001F1BF5">
            <w:pPr>
              <w:ind w:left="113" w:right="113"/>
              <w:rPr>
                <w:rFonts w:ascii="Arial" w:hAnsi="Arial" w:cs="Arial"/>
                <w:sz w:val="24"/>
                <w:szCs w:val="24"/>
              </w:rPr>
            </w:pPr>
          </w:p>
        </w:tc>
      </w:tr>
      <w:tr w:rsidR="00E638F5" w:rsidRPr="00860BC7" w14:paraId="333A7500" w14:textId="77777777" w:rsidTr="001F1BF5">
        <w:trPr>
          <w:cantSplit/>
          <w:trHeight w:val="2176"/>
        </w:trPr>
        <w:tc>
          <w:tcPr>
            <w:tcW w:w="703" w:type="dxa"/>
            <w:vMerge/>
            <w:textDirection w:val="tbRl"/>
          </w:tcPr>
          <w:p w14:paraId="3EA6C975" w14:textId="77777777" w:rsidR="00E638F5" w:rsidRPr="00860BC7" w:rsidRDefault="00E638F5" w:rsidP="001F1BF5">
            <w:pPr>
              <w:ind w:left="113" w:right="113"/>
              <w:rPr>
                <w:rFonts w:ascii="Arial" w:hAnsi="Arial" w:cs="Arial"/>
                <w:sz w:val="24"/>
                <w:szCs w:val="24"/>
              </w:rPr>
            </w:pPr>
          </w:p>
        </w:tc>
        <w:tc>
          <w:tcPr>
            <w:tcW w:w="3692" w:type="dxa"/>
            <w:textDirection w:val="tbRl"/>
          </w:tcPr>
          <w:p w14:paraId="512D6118" w14:textId="77777777" w:rsidR="00E638F5" w:rsidRPr="00226F3B" w:rsidRDefault="00E638F5" w:rsidP="00E638F5">
            <w:pPr>
              <w:pStyle w:val="Paragraphedeliste"/>
              <w:numPr>
                <w:ilvl w:val="0"/>
                <w:numId w:val="3"/>
              </w:numPr>
              <w:ind w:right="113"/>
              <w:rPr>
                <w:rFonts w:ascii="Arial" w:hAnsi="Arial" w:cs="Arial"/>
              </w:rPr>
            </w:pPr>
            <w:r w:rsidRPr="00226F3B">
              <w:rPr>
                <w:rFonts w:ascii="Arial" w:hAnsi="Arial" w:cs="Arial"/>
              </w:rPr>
              <w:t>Motivation au sein de l’entreprise</w:t>
            </w:r>
          </w:p>
          <w:p w14:paraId="51839C91" w14:textId="07F8F2FC" w:rsidR="00E638F5" w:rsidRPr="00226F3B" w:rsidRDefault="00E638F5" w:rsidP="00E638F5">
            <w:pPr>
              <w:pStyle w:val="Paragraphedeliste"/>
              <w:numPr>
                <w:ilvl w:val="0"/>
                <w:numId w:val="3"/>
              </w:numPr>
              <w:ind w:right="113"/>
              <w:rPr>
                <w:rFonts w:ascii="Arial" w:hAnsi="Arial" w:cs="Arial"/>
              </w:rPr>
            </w:pPr>
            <w:r w:rsidRPr="00226F3B">
              <w:rPr>
                <w:rFonts w:ascii="Arial" w:hAnsi="Arial" w:cs="Arial"/>
              </w:rPr>
              <w:t>Amélioration et sécurisation des processus</w:t>
            </w:r>
          </w:p>
          <w:p w14:paraId="1F8B719C" w14:textId="2003EC0E" w:rsidR="00E638F5" w:rsidRPr="00226F3B" w:rsidRDefault="00E638F5" w:rsidP="00E638F5">
            <w:pPr>
              <w:pStyle w:val="Paragraphedeliste"/>
              <w:numPr>
                <w:ilvl w:val="0"/>
                <w:numId w:val="3"/>
              </w:numPr>
              <w:ind w:right="113"/>
              <w:rPr>
                <w:rFonts w:ascii="Arial" w:hAnsi="Arial" w:cs="Arial"/>
              </w:rPr>
            </w:pPr>
            <w:r w:rsidRPr="00226F3B">
              <w:rPr>
                <w:rFonts w:ascii="Arial" w:hAnsi="Arial" w:cs="Arial"/>
              </w:rPr>
              <w:t>Amélioration continue des processus</w:t>
            </w:r>
          </w:p>
        </w:tc>
        <w:tc>
          <w:tcPr>
            <w:tcW w:w="1367" w:type="dxa"/>
            <w:vMerge/>
            <w:textDirection w:val="tbRl"/>
          </w:tcPr>
          <w:p w14:paraId="43923AEC" w14:textId="77777777" w:rsidR="00E638F5" w:rsidRPr="00860BC7" w:rsidRDefault="00E638F5" w:rsidP="001F1BF5">
            <w:pPr>
              <w:ind w:left="113" w:right="113"/>
              <w:rPr>
                <w:rFonts w:ascii="Arial" w:hAnsi="Arial" w:cs="Arial"/>
                <w:sz w:val="24"/>
                <w:szCs w:val="24"/>
              </w:rPr>
            </w:pPr>
          </w:p>
        </w:tc>
        <w:tc>
          <w:tcPr>
            <w:tcW w:w="1124" w:type="dxa"/>
            <w:textDirection w:val="tbRl"/>
          </w:tcPr>
          <w:p w14:paraId="5BEB53FD" w14:textId="2DEE44E1" w:rsidR="00E638F5" w:rsidRPr="00226F3B" w:rsidRDefault="00E638F5" w:rsidP="001F1BF5">
            <w:pPr>
              <w:ind w:left="113" w:right="113"/>
              <w:rPr>
                <w:rFonts w:ascii="Arial" w:hAnsi="Arial" w:cs="Arial"/>
              </w:rPr>
            </w:pPr>
            <w:r w:rsidRPr="00226F3B">
              <w:rPr>
                <w:rFonts w:ascii="Arial" w:hAnsi="Arial" w:cs="Arial"/>
              </w:rPr>
              <w:t>Management de la sécurité des denrées alimentaires</w:t>
            </w:r>
          </w:p>
        </w:tc>
        <w:tc>
          <w:tcPr>
            <w:tcW w:w="1264" w:type="dxa"/>
            <w:vMerge/>
            <w:textDirection w:val="tbRl"/>
          </w:tcPr>
          <w:p w14:paraId="6E01EC18" w14:textId="77777777" w:rsidR="00E638F5" w:rsidRPr="00860BC7" w:rsidRDefault="00E638F5" w:rsidP="001F1BF5">
            <w:pPr>
              <w:ind w:left="113" w:right="113"/>
              <w:rPr>
                <w:rFonts w:ascii="Arial" w:hAnsi="Arial" w:cs="Arial"/>
                <w:sz w:val="24"/>
                <w:szCs w:val="24"/>
              </w:rPr>
            </w:pPr>
          </w:p>
        </w:tc>
        <w:tc>
          <w:tcPr>
            <w:tcW w:w="421" w:type="dxa"/>
            <w:textDirection w:val="tbRl"/>
          </w:tcPr>
          <w:p w14:paraId="5ACB5718" w14:textId="77777777" w:rsidR="00E638F5" w:rsidRPr="00860BC7" w:rsidRDefault="00E638F5" w:rsidP="001F1BF5">
            <w:pPr>
              <w:ind w:left="113" w:right="113"/>
              <w:rPr>
                <w:rFonts w:ascii="Arial" w:hAnsi="Arial" w:cs="Arial"/>
                <w:sz w:val="24"/>
                <w:szCs w:val="24"/>
              </w:rPr>
            </w:pPr>
            <w:r w:rsidRPr="00860BC7">
              <w:rPr>
                <w:rFonts w:ascii="Arial" w:hAnsi="Arial" w:cs="Arial"/>
                <w:sz w:val="24"/>
                <w:szCs w:val="24"/>
              </w:rPr>
              <w:t>ISO 22000</w:t>
            </w:r>
          </w:p>
        </w:tc>
        <w:tc>
          <w:tcPr>
            <w:tcW w:w="697" w:type="dxa"/>
            <w:vMerge/>
            <w:textDirection w:val="tbRl"/>
          </w:tcPr>
          <w:p w14:paraId="45D90FA8" w14:textId="77777777" w:rsidR="00E638F5" w:rsidRPr="00860BC7" w:rsidRDefault="00E638F5" w:rsidP="001F1BF5">
            <w:pPr>
              <w:ind w:left="113" w:right="113"/>
              <w:rPr>
                <w:rFonts w:ascii="Arial" w:hAnsi="Arial" w:cs="Arial"/>
                <w:sz w:val="24"/>
                <w:szCs w:val="24"/>
              </w:rPr>
            </w:pPr>
          </w:p>
        </w:tc>
      </w:tr>
    </w:tbl>
    <w:p w14:paraId="461195CA" w14:textId="77777777" w:rsidR="00F5717E" w:rsidRDefault="00F5717E"/>
    <w:sectPr w:rsidR="00F5717E" w:rsidSect="009620C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9460" w14:textId="77777777" w:rsidR="008666A4" w:rsidRDefault="008666A4" w:rsidP="008666A4">
      <w:pPr>
        <w:spacing w:after="0" w:line="240" w:lineRule="auto"/>
      </w:pPr>
      <w:r>
        <w:separator/>
      </w:r>
    </w:p>
  </w:endnote>
  <w:endnote w:type="continuationSeparator" w:id="0">
    <w:p w14:paraId="5E01F65D" w14:textId="77777777" w:rsidR="008666A4" w:rsidRDefault="008666A4" w:rsidP="0086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0"/>
      <w:gridCol w:w="2475"/>
      <w:gridCol w:w="2370"/>
    </w:tblGrid>
    <w:tr w:rsidR="008666A4" w14:paraId="172305A2" w14:textId="13551C98" w:rsidTr="008666A4">
      <w:tblPrEx>
        <w:tblCellMar>
          <w:top w:w="0" w:type="dxa"/>
          <w:bottom w:w="0" w:type="dxa"/>
        </w:tblCellMar>
      </w:tblPrEx>
      <w:trPr>
        <w:trHeight w:val="315"/>
      </w:trPr>
      <w:tc>
        <w:tcPr>
          <w:tcW w:w="4260" w:type="dxa"/>
        </w:tcPr>
        <w:p w14:paraId="22E71BD2" w14:textId="1E84333C" w:rsidR="008666A4" w:rsidRDefault="008666A4" w:rsidP="008666A4">
          <w:pPr>
            <w:pStyle w:val="Pieddepage"/>
            <w:ind w:left="37"/>
          </w:pPr>
          <w:r>
            <w:t>BTS PP</w:t>
          </w:r>
        </w:p>
      </w:tc>
      <w:tc>
        <w:tcPr>
          <w:tcW w:w="2475" w:type="dxa"/>
        </w:tcPr>
        <w:p w14:paraId="12A8C2FA" w14:textId="36ADCA44" w:rsidR="008666A4" w:rsidRPr="008666A4" w:rsidRDefault="008666A4" w:rsidP="008666A4">
          <w:pPr>
            <w:pStyle w:val="Pieddepage"/>
            <w:ind w:left="37"/>
            <w:rPr>
              <w:b/>
            </w:rPr>
          </w:pPr>
          <w:r w:rsidRPr="008666A4">
            <w:rPr>
              <w:b/>
            </w:rPr>
            <w:t>CORRIGÉ</w:t>
          </w:r>
        </w:p>
      </w:tc>
      <w:tc>
        <w:tcPr>
          <w:tcW w:w="2370" w:type="dxa"/>
        </w:tcPr>
        <w:p w14:paraId="4336AFB0" w14:textId="7916DFA8" w:rsidR="008666A4" w:rsidRPr="008666A4" w:rsidRDefault="008666A4" w:rsidP="008666A4">
          <w:pPr>
            <w:pStyle w:val="Pieddepage"/>
            <w:ind w:left="37"/>
            <w:jc w:val="center"/>
            <w:rPr>
              <w:rFonts w:ascii="Arial" w:hAnsi="Arial" w:cs="Arial"/>
              <w:sz w:val="20"/>
              <w:szCs w:val="20"/>
            </w:rPr>
          </w:pPr>
          <w:r>
            <w:rPr>
              <w:rFonts w:ascii="Arial" w:hAnsi="Arial" w:cs="Arial"/>
              <w:sz w:val="20"/>
              <w:szCs w:val="20"/>
            </w:rPr>
            <w:t>SESSION 2021</w:t>
          </w:r>
        </w:p>
      </w:tc>
    </w:tr>
    <w:tr w:rsidR="008666A4" w14:paraId="55150D34" w14:textId="284A5C92" w:rsidTr="008666A4">
      <w:tblPrEx>
        <w:tblCellMar>
          <w:top w:w="0" w:type="dxa"/>
          <w:bottom w:w="0" w:type="dxa"/>
        </w:tblCellMar>
      </w:tblPrEx>
      <w:trPr>
        <w:trHeight w:val="285"/>
      </w:trPr>
      <w:tc>
        <w:tcPr>
          <w:tcW w:w="4260" w:type="dxa"/>
        </w:tcPr>
        <w:p w14:paraId="08919BDC" w14:textId="49B40471" w:rsidR="008666A4" w:rsidRDefault="008666A4" w:rsidP="008666A4">
          <w:pPr>
            <w:pStyle w:val="Pieddepage"/>
            <w:ind w:left="37"/>
          </w:pPr>
          <w:r>
            <w:t>E4</w:t>
          </w:r>
        </w:p>
      </w:tc>
      <w:tc>
        <w:tcPr>
          <w:tcW w:w="2475" w:type="dxa"/>
        </w:tcPr>
        <w:p w14:paraId="22B6BA3A" w14:textId="00E41208" w:rsidR="008666A4" w:rsidRDefault="008666A4" w:rsidP="008666A4">
          <w:pPr>
            <w:pStyle w:val="Pieddepage"/>
            <w:ind w:left="37"/>
          </w:pPr>
          <w:r>
            <w:t>PP4QHS</w:t>
          </w:r>
        </w:p>
      </w:tc>
      <w:tc>
        <w:tcPr>
          <w:tcW w:w="2370" w:type="dxa"/>
        </w:tcPr>
        <w:p w14:paraId="47CE0250" w14:textId="38662A89" w:rsidR="008666A4" w:rsidRDefault="008666A4" w:rsidP="008666A4">
          <w:pPr>
            <w:pStyle w:val="Pieddepage"/>
            <w:ind w:left="37"/>
            <w:jc w:val="center"/>
          </w:pPr>
          <w:r>
            <w:t xml:space="preserve">Page </w:t>
          </w:r>
          <w:r>
            <w:fldChar w:fldCharType="begin"/>
          </w:r>
          <w:r>
            <w:instrText>PAGE   \* MERGEFORMAT</w:instrText>
          </w:r>
          <w:r>
            <w:fldChar w:fldCharType="separate"/>
          </w:r>
          <w:r>
            <w:rPr>
              <w:noProof/>
            </w:rPr>
            <w:t>2</w:t>
          </w:r>
          <w:r>
            <w:fldChar w:fldCharType="end"/>
          </w:r>
          <w:r>
            <w:t>/4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0FB54" w14:textId="77777777" w:rsidR="008666A4" w:rsidRDefault="008666A4" w:rsidP="008666A4">
      <w:pPr>
        <w:spacing w:after="0" w:line="240" w:lineRule="auto"/>
      </w:pPr>
      <w:r>
        <w:separator/>
      </w:r>
    </w:p>
  </w:footnote>
  <w:footnote w:type="continuationSeparator" w:id="0">
    <w:p w14:paraId="41B0D0BA" w14:textId="77777777" w:rsidR="008666A4" w:rsidRDefault="008666A4" w:rsidP="00866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6F4D"/>
    <w:multiLevelType w:val="hybridMultilevel"/>
    <w:tmpl w:val="4F20E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797136"/>
    <w:multiLevelType w:val="hybridMultilevel"/>
    <w:tmpl w:val="F4EA49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9BB3632"/>
    <w:multiLevelType w:val="hybridMultilevel"/>
    <w:tmpl w:val="B810BA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3A"/>
    <w:rsid w:val="00052EE7"/>
    <w:rsid w:val="00182C0E"/>
    <w:rsid w:val="001D39D4"/>
    <w:rsid w:val="00226F3B"/>
    <w:rsid w:val="00331024"/>
    <w:rsid w:val="003338DB"/>
    <w:rsid w:val="004B2E3A"/>
    <w:rsid w:val="0050205B"/>
    <w:rsid w:val="005221EE"/>
    <w:rsid w:val="005D5EC5"/>
    <w:rsid w:val="005F0C2F"/>
    <w:rsid w:val="00691554"/>
    <w:rsid w:val="006C1F24"/>
    <w:rsid w:val="00822BC1"/>
    <w:rsid w:val="0085458F"/>
    <w:rsid w:val="008666A4"/>
    <w:rsid w:val="009620CA"/>
    <w:rsid w:val="00967215"/>
    <w:rsid w:val="00B97EE5"/>
    <w:rsid w:val="00C62371"/>
    <w:rsid w:val="00D103F8"/>
    <w:rsid w:val="00E638F5"/>
    <w:rsid w:val="00F57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44B6"/>
  <w15:chartTrackingRefBased/>
  <w15:docId w15:val="{A3573C93-9A2D-4BC6-A76B-8E3AF798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F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0205B"/>
    <w:pPr>
      <w:ind w:left="720"/>
      <w:contextualSpacing/>
    </w:pPr>
  </w:style>
  <w:style w:type="paragraph" w:styleId="En-tte">
    <w:name w:val="header"/>
    <w:basedOn w:val="Normal"/>
    <w:link w:val="En-tteCar"/>
    <w:uiPriority w:val="99"/>
    <w:unhideWhenUsed/>
    <w:rsid w:val="008666A4"/>
    <w:pPr>
      <w:tabs>
        <w:tab w:val="center" w:pos="4536"/>
        <w:tab w:val="right" w:pos="9072"/>
      </w:tabs>
      <w:spacing w:after="0" w:line="240" w:lineRule="auto"/>
    </w:pPr>
  </w:style>
  <w:style w:type="character" w:customStyle="1" w:styleId="En-tteCar">
    <w:name w:val="En-tête Car"/>
    <w:basedOn w:val="Policepardfaut"/>
    <w:link w:val="En-tte"/>
    <w:uiPriority w:val="99"/>
    <w:rsid w:val="008666A4"/>
  </w:style>
  <w:style w:type="paragraph" w:styleId="Pieddepage">
    <w:name w:val="footer"/>
    <w:basedOn w:val="Normal"/>
    <w:link w:val="PieddepageCar"/>
    <w:uiPriority w:val="99"/>
    <w:unhideWhenUsed/>
    <w:rsid w:val="008666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912</Words>
  <Characters>5020</Characters>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2020-09-12T08:14:00Z</dcterms:created>
  <dcterms:modified xsi:type="dcterms:W3CDTF">2021-01-25T08:06:00Z</dcterms:modified>
</cp:coreProperties>
</file>